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D7D4CB" w14:textId="38AA0CEC" w:rsidR="00F66648" w:rsidRPr="00F66648" w:rsidRDefault="00F66648" w:rsidP="00F66648">
      <w:pPr>
        <w:suppressAutoHyphens/>
        <w:spacing w:line="240" w:lineRule="auto"/>
        <w:jc w:val="both"/>
        <w:rPr>
          <w:rFonts w:ascii="Calibri" w:hAnsi="Calibri" w:cs="Calibri"/>
          <w:b/>
          <w:bCs/>
          <w:sz w:val="20"/>
          <w:szCs w:val="20"/>
        </w:rPr>
      </w:pPr>
      <w:r w:rsidRPr="00F66648">
        <w:rPr>
          <w:rFonts w:ascii="Calibri" w:hAnsi="Calibri" w:cs="Calibri"/>
          <w:b/>
          <w:bCs/>
          <w:sz w:val="20"/>
          <w:szCs w:val="20"/>
        </w:rPr>
        <w:t xml:space="preserve">Sinteză Raport Prioritatea </w:t>
      </w:r>
      <w:r w:rsidR="004A6DE6">
        <w:rPr>
          <w:rFonts w:ascii="Calibri" w:hAnsi="Calibri" w:cs="Calibri"/>
          <w:b/>
          <w:bCs/>
          <w:sz w:val="20"/>
          <w:szCs w:val="20"/>
        </w:rPr>
        <w:t>4 O regiune accesibilă</w:t>
      </w:r>
    </w:p>
    <w:p w14:paraId="667A3917" w14:textId="1FED90C7" w:rsidR="00F66648" w:rsidRPr="00F66648" w:rsidRDefault="00F66648" w:rsidP="00F66648">
      <w:pPr>
        <w:suppressAutoHyphens/>
        <w:spacing w:line="240" w:lineRule="auto"/>
        <w:jc w:val="both"/>
        <w:rPr>
          <w:rFonts w:ascii="Calibri" w:hAnsi="Calibri" w:cs="Calibri"/>
          <w:sz w:val="20"/>
          <w:szCs w:val="20"/>
        </w:rPr>
      </w:pPr>
      <w:r w:rsidRPr="00F66648">
        <w:rPr>
          <w:rFonts w:ascii="Calibri" w:hAnsi="Calibri" w:cs="Calibri"/>
          <w:sz w:val="20"/>
          <w:szCs w:val="20"/>
        </w:rPr>
        <w:t>Evaluarea prezentată în acest raport are ca obiectiv furnizarea de informații menite să sprijine Autoritatea de Management în realizarea evaluării intermediare (mid-term review), conform articolului 18 din Regulamentul Cadru 1060/2021, în vederea îmbunătățirii Programului Regional Sud-Est și a procesului de implementare a acestuia.</w:t>
      </w:r>
    </w:p>
    <w:p w14:paraId="79ED04CA" w14:textId="77777777" w:rsidR="00F66648" w:rsidRPr="00F66648" w:rsidRDefault="00F66648" w:rsidP="00F66648">
      <w:pPr>
        <w:suppressAutoHyphens/>
        <w:spacing w:line="240" w:lineRule="auto"/>
        <w:jc w:val="both"/>
        <w:rPr>
          <w:rFonts w:ascii="Calibri" w:hAnsi="Calibri" w:cs="Calibri"/>
          <w:sz w:val="20"/>
          <w:szCs w:val="20"/>
        </w:rPr>
      </w:pPr>
      <w:r w:rsidRPr="00F66648">
        <w:rPr>
          <w:rFonts w:ascii="Calibri" w:hAnsi="Calibri" w:cs="Calibri"/>
          <w:sz w:val="20"/>
          <w:szCs w:val="20"/>
        </w:rPr>
        <w:t>Analiza se concentrează pe patru criterii de evaluare – relevanță, eficacitate, coerență externă și eficiență – și oferă concluzii și recomandări utile pentru Autoritatea de Management și alte părți interesate, cu scopul optimizării sprijinului acordat în intervenții similare, într-un context socio-economic aflat într-o continuă transformare.</w:t>
      </w:r>
    </w:p>
    <w:p w14:paraId="14DDA6A2" w14:textId="1EF9CE0B" w:rsidR="00F66648" w:rsidRPr="00F66648" w:rsidRDefault="00F66648" w:rsidP="00F66648">
      <w:pPr>
        <w:suppressAutoHyphens/>
        <w:spacing w:line="240" w:lineRule="auto"/>
        <w:jc w:val="both"/>
        <w:rPr>
          <w:rFonts w:ascii="Calibri" w:hAnsi="Calibri" w:cs="Calibri"/>
          <w:sz w:val="20"/>
          <w:szCs w:val="20"/>
        </w:rPr>
      </w:pPr>
      <w:r w:rsidRPr="00F66648">
        <w:rPr>
          <w:rFonts w:ascii="Calibri" w:hAnsi="Calibri" w:cs="Calibri"/>
          <w:sz w:val="20"/>
          <w:szCs w:val="20"/>
        </w:rPr>
        <w:t xml:space="preserve">Evaluarea acoperă intervențiile corespunzătoare Priorității </w:t>
      </w:r>
      <w:r w:rsidR="004A6DE6">
        <w:rPr>
          <w:rFonts w:ascii="Calibri" w:hAnsi="Calibri" w:cs="Calibri"/>
          <w:sz w:val="20"/>
          <w:szCs w:val="20"/>
        </w:rPr>
        <w:t>4</w:t>
      </w:r>
      <w:r w:rsidRPr="00F66648">
        <w:rPr>
          <w:rFonts w:ascii="Calibri" w:hAnsi="Calibri" w:cs="Calibri"/>
          <w:sz w:val="20"/>
          <w:szCs w:val="20"/>
        </w:rPr>
        <w:t xml:space="preserve"> – O regiune cu emisii reduse de carbon și se referă la perioada de implementare cuprinsă între data aprobării programului, 21 octombrie 2022, și 31 decembrie 2024.</w:t>
      </w:r>
    </w:p>
    <w:p w14:paraId="164E4209" w14:textId="77777777" w:rsidR="00F66648" w:rsidRPr="00F66648" w:rsidRDefault="00F66648" w:rsidP="00F66648">
      <w:pPr>
        <w:suppressAutoHyphens/>
        <w:spacing w:line="240" w:lineRule="auto"/>
        <w:jc w:val="both"/>
        <w:rPr>
          <w:rFonts w:ascii="Calibri" w:hAnsi="Calibri" w:cs="Calibri"/>
          <w:sz w:val="20"/>
          <w:szCs w:val="20"/>
        </w:rPr>
      </w:pPr>
      <w:r w:rsidRPr="00F66648">
        <w:rPr>
          <w:rFonts w:ascii="Calibri" w:hAnsi="Calibri" w:cs="Calibri"/>
          <w:sz w:val="20"/>
          <w:szCs w:val="20"/>
        </w:rPr>
        <w:t>Din punct de vedere teritorial, evaluarea include întregul areal al Regiunii de Dezvoltare Sud-Est, respectiv județele Brăila, Buzău, Constanța, Galați, Tulcea și Vrancea, inclusiv zona Deltei Dunării.</w:t>
      </w:r>
    </w:p>
    <w:p w14:paraId="53481B0D" w14:textId="77777777" w:rsidR="00F66648" w:rsidRPr="00F66648" w:rsidRDefault="00F66648" w:rsidP="00F66648">
      <w:pPr>
        <w:suppressAutoHyphens/>
        <w:spacing w:line="240" w:lineRule="auto"/>
        <w:jc w:val="both"/>
        <w:rPr>
          <w:rFonts w:ascii="Calibri" w:hAnsi="Calibri" w:cs="Calibri"/>
          <w:sz w:val="20"/>
          <w:szCs w:val="20"/>
        </w:rPr>
      </w:pPr>
      <w:r w:rsidRPr="00F66648">
        <w:rPr>
          <w:rFonts w:ascii="Calibri" w:hAnsi="Calibri" w:cs="Calibri"/>
          <w:sz w:val="20"/>
          <w:szCs w:val="20"/>
        </w:rPr>
        <w:t>Metodologia aplicată, construită în jurul celor șase întrebări de evaluare din caietul de sarcini, a utilizat o combinație echilibrată de metode și instrumente: analiză documentară, interviuri, sondaje, grupuri de discuție, ateliere de lucru, studii de caz, paneluri de experți și metode cantitative pentru analiza progresului în implementare.</w:t>
      </w:r>
    </w:p>
    <w:p w14:paraId="6667F435" w14:textId="37C1B8A0" w:rsidR="00F66648" w:rsidRPr="004A6DE6" w:rsidRDefault="00F66648" w:rsidP="004A6DE6">
      <w:pPr>
        <w:suppressAutoHyphens/>
        <w:spacing w:line="240" w:lineRule="auto"/>
        <w:jc w:val="both"/>
        <w:rPr>
          <w:rFonts w:ascii="Calibri" w:hAnsi="Calibri" w:cs="Calibri"/>
          <w:sz w:val="20"/>
          <w:szCs w:val="20"/>
        </w:rPr>
      </w:pPr>
      <w:r w:rsidRPr="004A6DE6">
        <w:rPr>
          <w:rFonts w:ascii="Calibri" w:hAnsi="Calibri" w:cs="Calibri"/>
          <w:sz w:val="20"/>
          <w:szCs w:val="20"/>
        </w:rPr>
        <w:t>Procesul de evaluare a fost afectat de constrângeri de timp, disponibilitatea redusă a beneficiarilor și incidența redusă a proiectelor. Majoritatea proiectelor evaluate sunt fie etapizate din perioada anterioară de programare, fie noi dar aflate în faze incipiente, ceea ce a limitat analiza la țintele asumate, în absența unor rezultate efective generate de lipsa contractelor finalizate.</w:t>
      </w:r>
    </w:p>
    <w:p w14:paraId="3D107C48" w14:textId="77777777" w:rsidR="00F66648" w:rsidRPr="00F66648" w:rsidRDefault="00F66648" w:rsidP="00F66648">
      <w:pPr>
        <w:suppressAutoHyphens/>
        <w:spacing w:line="240" w:lineRule="auto"/>
        <w:jc w:val="both"/>
        <w:rPr>
          <w:rFonts w:ascii="Calibri" w:hAnsi="Calibri" w:cs="Calibri"/>
          <w:sz w:val="20"/>
          <w:szCs w:val="20"/>
        </w:rPr>
      </w:pPr>
      <w:r w:rsidRPr="00F66648">
        <w:rPr>
          <w:rFonts w:ascii="Calibri" w:hAnsi="Calibri" w:cs="Calibri"/>
          <w:sz w:val="20"/>
          <w:szCs w:val="20"/>
        </w:rPr>
        <w:t>Programul Regional Sud-Est (PRSE) 2021–2027, alături de celelalte șapte programe regionale, marchează o premieră în cadrul Acordului de Parteneriat dintre România și Uniunea Europeană, fiind pentru prima dată gestionat la nivel regional în cadrul Politicii de Coeziune. Scopul PRSE este de a susține creșterea competitivității economice regionale și de a îmbunătăți condițiile de viață ale comunităților locale, prin sprijinirea dezvoltării mediului de afaceri, a infrastructurii și serviciilor, contribuind la reducerea disparităților intraregionale și promovarea unei dezvoltări durabile.</w:t>
      </w:r>
    </w:p>
    <w:p w14:paraId="5BEDB9FC" w14:textId="0175231B" w:rsidR="004A6DE6" w:rsidRDefault="00F66648" w:rsidP="00F66648">
      <w:pPr>
        <w:suppressAutoHyphens/>
        <w:spacing w:line="240" w:lineRule="auto"/>
        <w:jc w:val="both"/>
        <w:rPr>
          <w:rFonts w:ascii="Calibri" w:hAnsi="Calibri" w:cs="Calibri"/>
          <w:sz w:val="20"/>
          <w:szCs w:val="20"/>
        </w:rPr>
      </w:pPr>
      <w:r w:rsidRPr="004A6DE6">
        <w:rPr>
          <w:rFonts w:ascii="Calibri" w:hAnsi="Calibri" w:cs="Calibri"/>
          <w:sz w:val="20"/>
          <w:szCs w:val="20"/>
        </w:rPr>
        <w:t xml:space="preserve">Prioritatea </w:t>
      </w:r>
      <w:r w:rsidR="004A6DE6" w:rsidRPr="004A6DE6">
        <w:rPr>
          <w:rFonts w:ascii="Calibri" w:hAnsi="Calibri" w:cs="Calibri"/>
          <w:sz w:val="20"/>
          <w:szCs w:val="20"/>
        </w:rPr>
        <w:t>4</w:t>
      </w:r>
      <w:r w:rsidRPr="004A6DE6">
        <w:rPr>
          <w:rFonts w:ascii="Calibri" w:hAnsi="Calibri" w:cs="Calibri"/>
          <w:sz w:val="20"/>
          <w:szCs w:val="20"/>
        </w:rPr>
        <w:t xml:space="preserve"> </w:t>
      </w:r>
      <w:r w:rsidR="004A6DE6" w:rsidRPr="004A6DE6">
        <w:rPr>
          <w:rFonts w:ascii="Calibri" w:hAnsi="Calibri" w:cs="Calibri"/>
          <w:sz w:val="20"/>
          <w:szCs w:val="20"/>
        </w:rPr>
        <w:t>„</w:t>
      </w:r>
      <w:r w:rsidRPr="004A6DE6">
        <w:rPr>
          <w:rFonts w:ascii="Calibri" w:hAnsi="Calibri" w:cs="Calibri"/>
          <w:sz w:val="20"/>
          <w:szCs w:val="20"/>
        </w:rPr>
        <w:t xml:space="preserve">O regiune </w:t>
      </w:r>
      <w:r w:rsidR="004A6DE6" w:rsidRPr="004A6DE6">
        <w:rPr>
          <w:rFonts w:ascii="Calibri" w:hAnsi="Calibri" w:cs="Calibri"/>
          <w:sz w:val="20"/>
          <w:szCs w:val="20"/>
        </w:rPr>
        <w:t>accesibilă</w:t>
      </w:r>
      <w:r w:rsidRPr="004A6DE6">
        <w:rPr>
          <w:rFonts w:ascii="Calibri" w:hAnsi="Calibri" w:cs="Calibri"/>
          <w:sz w:val="20"/>
          <w:szCs w:val="20"/>
        </w:rPr>
        <w:t>" are ca scop principal</w:t>
      </w:r>
      <w:r w:rsidR="004A6DE6" w:rsidRPr="004A6DE6">
        <w:rPr>
          <w:rFonts w:ascii="Calibri" w:hAnsi="Calibri" w:cs="Calibri"/>
          <w:sz w:val="20"/>
          <w:szCs w:val="20"/>
        </w:rPr>
        <w:t xml:space="preserve"> </w:t>
      </w:r>
      <w:r w:rsidR="004A6DE6" w:rsidRPr="004A6DE6">
        <w:rPr>
          <w:rFonts w:ascii="Calibri" w:hAnsi="Calibri" w:cs="Calibri"/>
          <w:sz w:val="20"/>
          <w:szCs w:val="20"/>
        </w:rPr>
        <w:t>implementarea de măsuri care să contribuie la dezvoltarea și creșterea unei mobilități naționale, regionale și locale durabile, reziliente la schimbările climatice, inteligente și intermodale, inclusiv îmbunătățirea accesului la TEN-T și a mobilității transfrontaliere</w:t>
      </w:r>
      <w:r w:rsidRPr="004A6DE6">
        <w:rPr>
          <w:rFonts w:ascii="Calibri" w:hAnsi="Calibri" w:cs="Calibri"/>
          <w:sz w:val="20"/>
          <w:szCs w:val="20"/>
        </w:rPr>
        <w:t xml:space="preserve">, acoperind Obiectivul Specific </w:t>
      </w:r>
      <w:r w:rsidR="004A6DE6" w:rsidRPr="004A6DE6">
        <w:rPr>
          <w:rFonts w:ascii="Calibri" w:hAnsi="Calibri" w:cs="Calibri"/>
          <w:sz w:val="20"/>
          <w:szCs w:val="20"/>
        </w:rPr>
        <w:t>3.2</w:t>
      </w:r>
      <w:r w:rsidRPr="004A6DE6">
        <w:rPr>
          <w:rFonts w:ascii="Calibri" w:hAnsi="Calibri" w:cs="Calibri"/>
          <w:sz w:val="20"/>
          <w:szCs w:val="20"/>
        </w:rPr>
        <w:t xml:space="preserve"> - </w:t>
      </w:r>
      <w:r w:rsidR="004A6DE6" w:rsidRPr="004A6DE6">
        <w:rPr>
          <w:rFonts w:ascii="Calibri" w:hAnsi="Calibri" w:cs="Calibri"/>
          <w:sz w:val="20"/>
          <w:szCs w:val="20"/>
        </w:rPr>
        <w:t>Dezvoltarea și ameliorarea unei mobilități naționale, regionale și locale sustenabile, reziliente la schimbările climatice, inteligente și intermodale, inclusiv îmbunătățirea accesului la TEN-T și a mobilității transfrontaliere</w:t>
      </w:r>
      <w:r w:rsidRPr="004A6DE6">
        <w:rPr>
          <w:rFonts w:ascii="Calibri" w:hAnsi="Calibri" w:cs="Calibri"/>
          <w:sz w:val="20"/>
          <w:szCs w:val="20"/>
        </w:rPr>
        <w:t xml:space="preserve">. Aceasta vizează investiții în </w:t>
      </w:r>
      <w:r w:rsidR="004A6DE6" w:rsidRPr="004A6DE6">
        <w:rPr>
          <w:rFonts w:ascii="Calibri" w:hAnsi="Calibri" w:cs="Calibri"/>
          <w:sz w:val="20"/>
          <w:szCs w:val="20"/>
        </w:rPr>
        <w:t>reabilitarea și modernizarea infrastructurii rutiere de importanță regională pentru asigurarea conectivității la rețeaua TEN-T</w:t>
      </w:r>
      <w:r w:rsidR="004A6DE6">
        <w:rPr>
          <w:rFonts w:ascii="Calibri" w:hAnsi="Calibri" w:cs="Calibri"/>
          <w:sz w:val="20"/>
          <w:szCs w:val="20"/>
        </w:rPr>
        <w:t xml:space="preserve"> prin Acțiunea 4.1 și </w:t>
      </w:r>
      <w:r w:rsidR="004A6DE6" w:rsidRPr="004A6DE6">
        <w:rPr>
          <w:rFonts w:ascii="Calibri" w:hAnsi="Calibri" w:cs="Calibri"/>
          <w:sz w:val="20"/>
          <w:szCs w:val="20"/>
        </w:rPr>
        <w:t>îmbunătățirea sistemului public de transport adaptat infrastructurii specifice din zona ITI DD</w:t>
      </w:r>
      <w:r w:rsidR="004A6DE6">
        <w:rPr>
          <w:rFonts w:ascii="Calibri" w:hAnsi="Calibri" w:cs="Calibri"/>
          <w:sz w:val="20"/>
          <w:szCs w:val="20"/>
        </w:rPr>
        <w:t xml:space="preserve"> prin Acțiunea 4.2.</w:t>
      </w:r>
      <w:r w:rsidR="0064102C" w:rsidRPr="0064102C">
        <w:rPr>
          <w:rFonts w:ascii="Calibri" w:hAnsi="Calibri" w:cs="Calibri"/>
          <w:sz w:val="20"/>
          <w:szCs w:val="20"/>
        </w:rPr>
        <w:t xml:space="preserve"> </w:t>
      </w:r>
      <w:r w:rsidRPr="0064102C">
        <w:rPr>
          <w:rFonts w:ascii="Calibri" w:hAnsi="Calibri" w:cs="Calibri"/>
          <w:sz w:val="20"/>
          <w:szCs w:val="20"/>
        </w:rPr>
        <w:t xml:space="preserve">Intervențiile finanțate în cadrul Priorității </w:t>
      </w:r>
      <w:r w:rsidR="0064102C" w:rsidRPr="0064102C">
        <w:rPr>
          <w:rFonts w:ascii="Calibri" w:hAnsi="Calibri" w:cs="Calibri"/>
          <w:sz w:val="20"/>
          <w:szCs w:val="20"/>
        </w:rPr>
        <w:t>4</w:t>
      </w:r>
      <w:r w:rsidRPr="0064102C">
        <w:rPr>
          <w:rFonts w:ascii="Calibri" w:hAnsi="Calibri" w:cs="Calibri"/>
          <w:sz w:val="20"/>
          <w:szCs w:val="20"/>
        </w:rPr>
        <w:t xml:space="preserve"> au fost concepute, astfel, pentru a răspunde unor probleme stringente existente la nivelul regiunii Sud-Est, precum </w:t>
      </w:r>
      <w:r w:rsidR="0064102C" w:rsidRPr="0064102C">
        <w:rPr>
          <w:rFonts w:ascii="Calibri" w:hAnsi="Calibri" w:cs="Calibri"/>
          <w:sz w:val="20"/>
          <w:szCs w:val="20"/>
        </w:rPr>
        <w:t>mobilitatea și accesibilitatea reduse, siguranța rutieră scăzută și nivelul ridicat de poluare, generate de o infrastructură regională insuficientă și învechită. În zona Delta Dunării, sistemul public naval de transport este învechit și insuficient, ceea ce afectează mobilitatea pasagerilor și accesul acestora la servicii esențiale, precum cele de sănătate, educație și servicii sociale în localitățile urbane.</w:t>
      </w:r>
    </w:p>
    <w:p w14:paraId="15114B7A" w14:textId="77777777" w:rsidR="00F66648" w:rsidRPr="005C243E" w:rsidRDefault="00F66648" w:rsidP="00F66648">
      <w:pPr>
        <w:spacing w:line="240" w:lineRule="auto"/>
        <w:jc w:val="both"/>
        <w:rPr>
          <w:rFonts w:ascii="Calibri" w:hAnsi="Calibri" w:cs="Calibri"/>
          <w:b/>
          <w:bCs/>
          <w:sz w:val="20"/>
          <w:szCs w:val="20"/>
        </w:rPr>
      </w:pPr>
      <w:r w:rsidRPr="005C243E">
        <w:rPr>
          <w:rFonts w:ascii="Calibri" w:hAnsi="Calibri" w:cs="Calibri"/>
          <w:b/>
          <w:bCs/>
          <w:sz w:val="20"/>
          <w:szCs w:val="20"/>
        </w:rPr>
        <w:t>Constatări și concluzii ale evaluării</w:t>
      </w:r>
    </w:p>
    <w:p w14:paraId="221B94AF" w14:textId="7A53CA37" w:rsidR="005C243E" w:rsidRDefault="00F66648" w:rsidP="005C243E">
      <w:pPr>
        <w:suppressAutoHyphens/>
        <w:spacing w:line="240" w:lineRule="auto"/>
        <w:jc w:val="both"/>
        <w:rPr>
          <w:rFonts w:ascii="Calibri" w:hAnsi="Calibri" w:cs="Calibri"/>
          <w:sz w:val="20"/>
          <w:szCs w:val="20"/>
        </w:rPr>
      </w:pPr>
      <w:r w:rsidRPr="005C243E">
        <w:rPr>
          <w:rFonts w:ascii="Calibri" w:hAnsi="Calibri" w:cs="Calibri"/>
          <w:sz w:val="20"/>
          <w:szCs w:val="20"/>
        </w:rPr>
        <w:t xml:space="preserve">Nevoile legate de </w:t>
      </w:r>
      <w:r w:rsidR="00A65566" w:rsidRPr="005C243E">
        <w:rPr>
          <w:rFonts w:ascii="Calibri" w:hAnsi="Calibri" w:cs="Calibri"/>
          <w:sz w:val="20"/>
          <w:szCs w:val="20"/>
        </w:rPr>
        <w:t xml:space="preserve">calitatea slabă a infrastructurii de transport, inegalitatea privind accesul la infrastructură, siguranță rutieră limitată, lipsa unui sistem inteligent de transport, conexiuni modale insuficiente și sectorul navigabil ce prezintă </w:t>
      </w:r>
      <w:r w:rsidR="00A65566" w:rsidRPr="005C243E">
        <w:rPr>
          <w:rFonts w:ascii="Calibri" w:hAnsi="Calibri" w:cs="Calibri"/>
          <w:sz w:val="20"/>
          <w:szCs w:val="20"/>
        </w:rPr>
        <w:t>acces scăzut</w:t>
      </w:r>
      <w:r w:rsidR="00A65566" w:rsidRPr="005C243E">
        <w:rPr>
          <w:rFonts w:ascii="Calibri" w:hAnsi="Calibri" w:cs="Calibri"/>
          <w:sz w:val="20"/>
          <w:szCs w:val="20"/>
        </w:rPr>
        <w:t xml:space="preserve"> la servicii specifice și cu risc asupra siguranței navale</w:t>
      </w:r>
      <w:r w:rsidR="00A65566" w:rsidRPr="005C243E">
        <w:rPr>
          <w:rFonts w:ascii="Calibri" w:hAnsi="Calibri" w:cs="Calibri"/>
          <w:sz w:val="20"/>
          <w:szCs w:val="20"/>
        </w:rPr>
        <w:t xml:space="preserve"> </w:t>
      </w:r>
      <w:r w:rsidRPr="005C243E">
        <w:rPr>
          <w:rFonts w:ascii="Calibri" w:hAnsi="Calibri" w:cs="Calibri"/>
          <w:sz w:val="20"/>
          <w:szCs w:val="20"/>
        </w:rPr>
        <w:t xml:space="preserve">rămân în continuare actuale, </w:t>
      </w:r>
      <w:r w:rsidR="00A65566" w:rsidRPr="005C243E">
        <w:rPr>
          <w:rFonts w:ascii="Calibri" w:hAnsi="Calibri" w:cs="Calibri"/>
          <w:sz w:val="20"/>
          <w:szCs w:val="20"/>
        </w:rPr>
        <w:t>nevoi</w:t>
      </w:r>
      <w:r w:rsidR="004608B8">
        <w:rPr>
          <w:rFonts w:ascii="Calibri" w:hAnsi="Calibri" w:cs="Calibri"/>
          <w:sz w:val="20"/>
          <w:szCs w:val="20"/>
        </w:rPr>
        <w:t>a</w:t>
      </w:r>
      <w:r w:rsidR="00A65566" w:rsidRPr="005C243E">
        <w:rPr>
          <w:rFonts w:ascii="Calibri" w:hAnsi="Calibri" w:cs="Calibri"/>
          <w:sz w:val="20"/>
          <w:szCs w:val="20"/>
        </w:rPr>
        <w:t xml:space="preserve"> de finanțare fiind crescută. </w:t>
      </w:r>
    </w:p>
    <w:p w14:paraId="7A3B33E5" w14:textId="797927F2" w:rsidR="00A65566" w:rsidRPr="005C243E" w:rsidRDefault="005C243E" w:rsidP="005C243E">
      <w:pPr>
        <w:suppressAutoHyphens/>
        <w:spacing w:line="240" w:lineRule="auto"/>
        <w:jc w:val="both"/>
        <w:rPr>
          <w:rFonts w:ascii="Calibri" w:hAnsi="Calibri" w:cs="Calibri"/>
          <w:sz w:val="20"/>
          <w:szCs w:val="20"/>
        </w:rPr>
      </w:pPr>
      <w:r w:rsidRPr="005C243E">
        <w:rPr>
          <w:rFonts w:ascii="Calibri" w:hAnsi="Calibri" w:cs="Calibri"/>
          <w:sz w:val="20"/>
          <w:szCs w:val="20"/>
        </w:rPr>
        <w:lastRenderedPageBreak/>
        <w:t xml:space="preserve">Finanțarea totală alocată pentru </w:t>
      </w:r>
      <w:r w:rsidR="004608B8">
        <w:rPr>
          <w:rFonts w:ascii="Calibri" w:hAnsi="Calibri" w:cs="Calibri"/>
          <w:sz w:val="20"/>
          <w:szCs w:val="20"/>
        </w:rPr>
        <w:t>P</w:t>
      </w:r>
      <w:r w:rsidRPr="005C243E">
        <w:rPr>
          <w:rFonts w:ascii="Calibri" w:hAnsi="Calibri" w:cs="Calibri"/>
          <w:sz w:val="20"/>
          <w:szCs w:val="20"/>
        </w:rPr>
        <w:t xml:space="preserve">rioritate </w:t>
      </w:r>
      <w:r w:rsidR="004608B8">
        <w:rPr>
          <w:rFonts w:ascii="Calibri" w:hAnsi="Calibri" w:cs="Calibri"/>
          <w:sz w:val="20"/>
          <w:szCs w:val="20"/>
        </w:rPr>
        <w:t xml:space="preserve">4 </w:t>
      </w:r>
      <w:r w:rsidRPr="005C243E">
        <w:rPr>
          <w:rFonts w:ascii="Calibri" w:hAnsi="Calibri" w:cs="Calibri"/>
          <w:sz w:val="20"/>
          <w:szCs w:val="20"/>
        </w:rPr>
        <w:t xml:space="preserve">este de </w:t>
      </w:r>
      <w:r w:rsidR="004608B8">
        <w:rPr>
          <w:rFonts w:ascii="Calibri" w:hAnsi="Calibri" w:cs="Calibri"/>
          <w:sz w:val="20"/>
          <w:szCs w:val="20"/>
        </w:rPr>
        <w:t xml:space="preserve">aproximativ </w:t>
      </w:r>
      <w:r w:rsidRPr="005C243E">
        <w:rPr>
          <w:rFonts w:ascii="Calibri" w:hAnsi="Calibri" w:cs="Calibri"/>
          <w:sz w:val="20"/>
          <w:szCs w:val="20"/>
        </w:rPr>
        <w:t xml:space="preserve">231 milioane EUR </w:t>
      </w:r>
      <w:r w:rsidRPr="005C243E">
        <w:rPr>
          <w:rFonts w:ascii="Calibri" w:hAnsi="Calibri" w:cs="Calibri"/>
          <w:sz w:val="20"/>
          <w:szCs w:val="20"/>
        </w:rPr>
        <w:t xml:space="preserve">FEDR + BS </w:t>
      </w:r>
      <w:r w:rsidRPr="005C243E">
        <w:rPr>
          <w:rFonts w:ascii="Calibri" w:hAnsi="Calibri" w:cs="Calibri"/>
          <w:sz w:val="20"/>
          <w:szCs w:val="20"/>
        </w:rPr>
        <w:t xml:space="preserve">(180 milioane EUR pentru regiunea Sud-Est și 52 milioane EUR pentru zona Delta Dunării), reprezentând 16% din bugetul al programului. </w:t>
      </w:r>
      <w:r>
        <w:rPr>
          <w:rFonts w:ascii="Calibri" w:hAnsi="Calibri" w:cs="Calibri"/>
          <w:sz w:val="20"/>
          <w:szCs w:val="20"/>
        </w:rPr>
        <w:t xml:space="preserve">Interesul beneficiarilor pentru obținerea finanțării a fost foarte mare, fapt susținut de numărul mare de proiecte pregătite și de rata de contractare, </w:t>
      </w:r>
      <w:r w:rsidR="004608B8">
        <w:rPr>
          <w:rFonts w:ascii="Calibri" w:hAnsi="Calibri" w:cs="Calibri"/>
          <w:sz w:val="20"/>
          <w:szCs w:val="20"/>
        </w:rPr>
        <w:t xml:space="preserve">respectiv 125% (peste 250 milioane </w:t>
      </w:r>
      <w:r w:rsidR="004608B8" w:rsidRPr="005C243E">
        <w:rPr>
          <w:rFonts w:ascii="Calibri" w:hAnsi="Calibri" w:cs="Calibri"/>
          <w:sz w:val="20"/>
          <w:szCs w:val="20"/>
        </w:rPr>
        <w:t>EUR FEDR + BS</w:t>
      </w:r>
      <w:r w:rsidR="004608B8">
        <w:rPr>
          <w:rFonts w:ascii="Calibri" w:hAnsi="Calibri" w:cs="Calibri"/>
          <w:sz w:val="20"/>
          <w:szCs w:val="20"/>
        </w:rPr>
        <w:t xml:space="preserve">). </w:t>
      </w:r>
    </w:p>
    <w:p w14:paraId="5550DB8E" w14:textId="077A29C9" w:rsidR="005C243E" w:rsidRPr="005C243E" w:rsidRDefault="005C243E" w:rsidP="005C243E">
      <w:pPr>
        <w:suppressAutoHyphens/>
        <w:spacing w:line="240" w:lineRule="auto"/>
        <w:jc w:val="both"/>
        <w:rPr>
          <w:rFonts w:ascii="Calibri" w:hAnsi="Calibri" w:cs="Calibri"/>
          <w:sz w:val="20"/>
          <w:szCs w:val="20"/>
        </w:rPr>
      </w:pPr>
      <w:r w:rsidRPr="005C243E">
        <w:rPr>
          <w:rFonts w:ascii="Calibri" w:hAnsi="Calibri" w:cs="Calibri"/>
          <w:sz w:val="20"/>
          <w:szCs w:val="20"/>
        </w:rPr>
        <w:t>Până la 31 decembrie 2024, din bugetul Priorității 4 au fost contractate 8 proiecte ce vizează reabilitarea și modernizarea infrastructurii rutiere de importanță regională pentru asigurarea conectivității la rețeaua TEN-T. Ritmul de implementare este variabil, cu unele proiecte aflate în stadii avansate</w:t>
      </w:r>
      <w:r>
        <w:rPr>
          <w:rFonts w:ascii="Calibri" w:hAnsi="Calibri" w:cs="Calibri"/>
          <w:sz w:val="20"/>
          <w:szCs w:val="20"/>
        </w:rPr>
        <w:t xml:space="preserve"> (cele etapizate)</w:t>
      </w:r>
      <w:r w:rsidRPr="005C243E">
        <w:rPr>
          <w:rFonts w:ascii="Calibri" w:hAnsi="Calibri" w:cs="Calibri"/>
          <w:sz w:val="20"/>
          <w:szCs w:val="20"/>
        </w:rPr>
        <w:t xml:space="preserve"> și altele întâmpinând dificultăți în procedurile de achiziție și implementare</w:t>
      </w:r>
      <w:r>
        <w:rPr>
          <w:rFonts w:ascii="Calibri" w:hAnsi="Calibri" w:cs="Calibri"/>
          <w:sz w:val="20"/>
          <w:szCs w:val="20"/>
        </w:rPr>
        <w:t xml:space="preserve"> (cele noi)</w:t>
      </w:r>
      <w:r w:rsidRPr="005C243E">
        <w:rPr>
          <w:rFonts w:ascii="Calibri" w:hAnsi="Calibri" w:cs="Calibri"/>
          <w:sz w:val="20"/>
          <w:szCs w:val="20"/>
        </w:rPr>
        <w:t xml:space="preserve">. La finalizarea celor 8 contracte vor rezulta aprox. 227 km drumuri reconstruite sau modernizate - din afara TEN-T și un număr total anual de utilizatori de peste 62 miliarde pasager-km/an. Proiectele vor contribui la creșterea siguranței în trafic prin amenajarea a peste 67200 mp de trotuare, montarea a 18 elemente suplimentare destinate siguranței circulației, amenajarea a 90 de stații pentru transport public, 56 de treceri de pietoni suplimentar iluminate. </w:t>
      </w:r>
    </w:p>
    <w:p w14:paraId="1A03BC1E" w14:textId="7D66C63A" w:rsidR="005C243E" w:rsidRPr="005C243E" w:rsidRDefault="005C243E" w:rsidP="005C243E">
      <w:pPr>
        <w:suppressAutoHyphens/>
        <w:spacing w:line="240" w:lineRule="auto"/>
        <w:jc w:val="both"/>
        <w:rPr>
          <w:rFonts w:ascii="Calibri" w:hAnsi="Calibri" w:cs="Calibri"/>
          <w:sz w:val="20"/>
          <w:szCs w:val="20"/>
        </w:rPr>
      </w:pPr>
      <w:r w:rsidRPr="005C243E">
        <w:rPr>
          <w:rFonts w:ascii="Calibri" w:hAnsi="Calibri" w:cs="Calibri"/>
          <w:sz w:val="20"/>
          <w:szCs w:val="20"/>
        </w:rPr>
        <w:t>Dezvoltarea infrastructurii pentru combustibili alternativi, dezvoltarea sistemului de transport public și a infrastructurii de acostare în zona Delta Dunării (inclusiv achiziția de nave cu performanțe energetice ridicate și instalarea de puncte de reîncărcare electrică la mal) sunt intervenții ce nu au fost vizate de apeluri de proiecte până la data de 31.12.2024, apelurile fiind în pregătire.</w:t>
      </w:r>
      <w:r w:rsidR="004608B8">
        <w:rPr>
          <w:rFonts w:ascii="Calibri" w:hAnsi="Calibri" w:cs="Calibri"/>
          <w:sz w:val="20"/>
          <w:szCs w:val="20"/>
        </w:rPr>
        <w:t xml:space="preserve"> </w:t>
      </w:r>
      <w:r w:rsidR="004608B8" w:rsidRPr="005C243E">
        <w:rPr>
          <w:rFonts w:ascii="Calibri" w:hAnsi="Calibri" w:cs="Calibri"/>
          <w:sz w:val="20"/>
          <w:szCs w:val="20"/>
        </w:rPr>
        <w:t>În acest context, continuarea investițiilor în dezvoltarea infrastructurii regionale este esențială pentru creșterea accesibilității</w:t>
      </w:r>
      <w:r w:rsidR="004608B8">
        <w:rPr>
          <w:rFonts w:ascii="Calibri" w:hAnsi="Calibri" w:cs="Calibri"/>
          <w:sz w:val="20"/>
          <w:szCs w:val="20"/>
        </w:rPr>
        <w:t xml:space="preserve"> și dezvoltării socio-economice a regiunii Sud-Est și zonei delta Dunării.</w:t>
      </w:r>
    </w:p>
    <w:p w14:paraId="1C548319" w14:textId="77777777" w:rsidR="005C243E" w:rsidRPr="005C243E" w:rsidRDefault="005C243E" w:rsidP="005C243E">
      <w:pPr>
        <w:suppressAutoHyphens/>
        <w:spacing w:line="240" w:lineRule="auto"/>
        <w:jc w:val="both"/>
        <w:rPr>
          <w:rFonts w:ascii="Calibri" w:hAnsi="Calibri" w:cs="Calibri"/>
          <w:sz w:val="20"/>
          <w:szCs w:val="20"/>
        </w:rPr>
      </w:pPr>
      <w:r w:rsidRPr="005C243E">
        <w:rPr>
          <w:rFonts w:ascii="Calibri" w:hAnsi="Calibri" w:cs="Calibri"/>
          <w:sz w:val="20"/>
          <w:szCs w:val="20"/>
        </w:rPr>
        <w:t xml:space="preserve">Evaluarea arată că Prioritatea 4 este bine aliniată la recomandările relevante din cadrul Semestrului European, în special în ceea ce privește tranziția către o economie verde, reducerea emisiilor de carbon și mobilitatea urbană sustenabilă. Investițiile din cadrul programului urmăresc să contribuie la obiectivele Uniunii Europene privind decarbonizarea, eficiența energetică și dezvoltarea infrastructurii de transport public ecologic. </w:t>
      </w:r>
    </w:p>
    <w:p w14:paraId="71361266" w14:textId="77777777" w:rsidR="005C243E" w:rsidRDefault="005C243E" w:rsidP="005C243E">
      <w:pPr>
        <w:suppressAutoHyphens/>
        <w:spacing w:line="240" w:lineRule="auto"/>
        <w:jc w:val="both"/>
        <w:rPr>
          <w:rFonts w:ascii="Calibri" w:hAnsi="Calibri" w:cs="Calibri"/>
          <w:sz w:val="20"/>
          <w:szCs w:val="20"/>
        </w:rPr>
      </w:pPr>
      <w:r w:rsidRPr="005C243E">
        <w:rPr>
          <w:rFonts w:ascii="Calibri" w:hAnsi="Calibri" w:cs="Calibri"/>
          <w:sz w:val="20"/>
          <w:szCs w:val="20"/>
        </w:rPr>
        <w:t xml:space="preserve">Rezultatele proiectelor finanțate prin Prioritatea 4 vor avea un impact direct asupra utilizatorilor infrastructurii rutiere reabilitate, cum ar fi agenții economici, locuitorii din regiunea Sud-Est, precum și turiștii și vizitatorii. De asemenea, beneficiari vor fi și pasagerii, respectiv locuitorii și turiștii/vizitatorii care utilizează transportul public naval de pasageri din zona Delta Dunării. </w:t>
      </w:r>
    </w:p>
    <w:p w14:paraId="5EFA924D" w14:textId="6D7C8529" w:rsidR="004608B8" w:rsidRDefault="004608B8" w:rsidP="004608B8">
      <w:pPr>
        <w:spacing w:line="240" w:lineRule="auto"/>
        <w:jc w:val="both"/>
        <w:rPr>
          <w:rFonts w:ascii="Calibri" w:hAnsi="Calibri" w:cs="Calibri"/>
          <w:sz w:val="20"/>
          <w:szCs w:val="20"/>
        </w:rPr>
      </w:pPr>
      <w:r w:rsidRPr="00F66648">
        <w:rPr>
          <w:rFonts w:ascii="Calibri" w:hAnsi="Calibri" w:cs="Calibri"/>
          <w:sz w:val="20"/>
          <w:szCs w:val="20"/>
        </w:rPr>
        <w:t xml:space="preserve">PR SE prin Prioritatea </w:t>
      </w:r>
      <w:r>
        <w:rPr>
          <w:rFonts w:ascii="Calibri" w:hAnsi="Calibri" w:cs="Calibri"/>
          <w:sz w:val="20"/>
          <w:szCs w:val="20"/>
        </w:rPr>
        <w:t>4</w:t>
      </w:r>
      <w:r w:rsidRPr="00F66648">
        <w:rPr>
          <w:rFonts w:ascii="Calibri" w:hAnsi="Calibri" w:cs="Calibri"/>
          <w:sz w:val="20"/>
          <w:szCs w:val="20"/>
        </w:rPr>
        <w:t xml:space="preserve"> este aliniat în mare măsură cu Recomandările de Țară, contribuind la implementarea acestora prin acțiunile ce vizează transportul durabil ca recomandări din anii 2019 și 2020 din cadrul Rapoartelor de Țară. Prin aceste acțiuni se sprijină dezvoltarea mobilității urbane sustenabile și reducerea emisiilor de carbon (OS </w:t>
      </w:r>
      <w:r>
        <w:rPr>
          <w:rFonts w:ascii="Calibri" w:hAnsi="Calibri" w:cs="Calibri"/>
          <w:sz w:val="20"/>
          <w:szCs w:val="20"/>
        </w:rPr>
        <w:t>3.2</w:t>
      </w:r>
      <w:r w:rsidRPr="00F66648">
        <w:rPr>
          <w:rFonts w:ascii="Calibri" w:hAnsi="Calibri" w:cs="Calibri"/>
          <w:sz w:val="20"/>
          <w:szCs w:val="20"/>
        </w:rPr>
        <w:t>), ca aspecte recomandate de CE, subliniind necesitatea menținerii acestor tipuri de investiții</w:t>
      </w:r>
      <w:r w:rsidR="005E6D2F">
        <w:rPr>
          <w:rFonts w:ascii="Calibri" w:hAnsi="Calibri" w:cs="Calibri"/>
          <w:sz w:val="20"/>
          <w:szCs w:val="20"/>
        </w:rPr>
        <w:t>.</w:t>
      </w:r>
    </w:p>
    <w:p w14:paraId="08D11C16" w14:textId="4686C771" w:rsidR="005E6D2F" w:rsidRPr="005E6D2F" w:rsidRDefault="005E6D2F" w:rsidP="005E6D2F">
      <w:pPr>
        <w:spacing w:line="240" w:lineRule="auto"/>
        <w:jc w:val="both"/>
        <w:rPr>
          <w:rFonts w:ascii="Calibri" w:hAnsi="Calibri" w:cs="Calibri"/>
          <w:sz w:val="20"/>
          <w:szCs w:val="20"/>
        </w:rPr>
      </w:pPr>
      <w:r w:rsidRPr="005E6D2F">
        <w:rPr>
          <w:rFonts w:ascii="Calibri" w:hAnsi="Calibri" w:cs="Calibri"/>
          <w:sz w:val="20"/>
          <w:szCs w:val="20"/>
        </w:rPr>
        <w:t xml:space="preserve">Contribuția Priorității 4 la Planul Național Integrat în domeniul Energiei și Schimbărilor Climatice (PNIESC) și Pilonul European al Drepturilor Sociale (PEDS) este potențială din cauza implementării în stadiu incipient a proiectelor, însă sunt vizate acțiuni care să sprijine aceste obiective și principii. Privind PNIESC, Prioritatea 4 sprijină obiectivul de mediu eficiență energetică prin patru politici și măsuri (P&amp;M), cu o alocare totală de </w:t>
      </w:r>
      <w:r w:rsidRPr="005E6D2F">
        <w:rPr>
          <w:rFonts w:ascii="Calibri" w:hAnsi="Calibri" w:cs="Calibri"/>
          <w:sz w:val="20"/>
          <w:szCs w:val="20"/>
        </w:rPr>
        <w:t>4 milioane</w:t>
      </w:r>
      <w:r w:rsidRPr="005E6D2F">
        <w:rPr>
          <w:rFonts w:ascii="Calibri" w:hAnsi="Calibri" w:cs="Calibri"/>
          <w:sz w:val="20"/>
          <w:szCs w:val="20"/>
        </w:rPr>
        <w:t xml:space="preserve"> EUR</w:t>
      </w:r>
      <w:r w:rsidRPr="005E6D2F">
        <w:rPr>
          <w:rFonts w:ascii="Calibri" w:hAnsi="Calibri" w:cs="Calibri"/>
          <w:sz w:val="20"/>
          <w:szCs w:val="20"/>
        </w:rPr>
        <w:t xml:space="preserve"> FEDR</w:t>
      </w:r>
      <w:r w:rsidRPr="005E6D2F">
        <w:rPr>
          <w:rFonts w:ascii="Calibri" w:hAnsi="Calibri" w:cs="Calibri"/>
          <w:sz w:val="20"/>
          <w:szCs w:val="20"/>
        </w:rPr>
        <w:t xml:space="preserve">, respectiv </w:t>
      </w:r>
      <w:r w:rsidRPr="005E6D2F">
        <w:rPr>
          <w:rFonts w:ascii="Calibri" w:hAnsi="Calibri" w:cs="Calibri"/>
          <w:i/>
          <w:iCs/>
          <w:sz w:val="20"/>
          <w:szCs w:val="20"/>
        </w:rPr>
        <w:t>Creșterea ponderii autoturismelor și autovehiculelor de transport pasageri alimentate cu combustibili alternativi</w:t>
      </w:r>
      <w:r w:rsidRPr="005E6D2F">
        <w:rPr>
          <w:rFonts w:ascii="Calibri" w:hAnsi="Calibri" w:cs="Calibri"/>
          <w:sz w:val="20"/>
          <w:szCs w:val="20"/>
        </w:rPr>
        <w:t xml:space="preserve"> (P&amp;M 47 și P&amp;M 48). </w:t>
      </w:r>
    </w:p>
    <w:p w14:paraId="426CB55C" w14:textId="7E0DCB78" w:rsidR="005C243E" w:rsidRPr="005C243E" w:rsidRDefault="005C243E" w:rsidP="005C243E">
      <w:pPr>
        <w:suppressAutoHyphens/>
        <w:spacing w:line="240" w:lineRule="auto"/>
        <w:jc w:val="both"/>
        <w:rPr>
          <w:rFonts w:ascii="Calibri" w:hAnsi="Calibri" w:cs="Calibri"/>
          <w:sz w:val="20"/>
          <w:szCs w:val="20"/>
        </w:rPr>
      </w:pPr>
      <w:r w:rsidRPr="005C243E">
        <w:rPr>
          <w:rFonts w:ascii="Calibri" w:hAnsi="Calibri" w:cs="Calibri"/>
          <w:sz w:val="20"/>
          <w:szCs w:val="20"/>
        </w:rPr>
        <w:t>Din cele 8 proiecte contractate până la 31.12.2024 vor rezulta 3 stații cu câte două locuri fiecare, ce se vor utiliza exclusiv pentru încărcarea mijloacelor de transport public al elevilor în locatățile Ulmu, Cireșu, Liscoteanca din județul Brăila, un total de 20.25 km de piste de biciclete realizați în județul Tulcea, județul Constanța, județul Galați. Aproximativ 24300 km de aliniamente de arbori și perdele forestiere vor fi realizate de-a lungul căilor de transport.</w:t>
      </w:r>
    </w:p>
    <w:p w14:paraId="5F76703F" w14:textId="01EB3DAD" w:rsidR="005C243E" w:rsidRPr="005C243E" w:rsidRDefault="004608B8" w:rsidP="005C243E">
      <w:pPr>
        <w:suppressAutoHyphens/>
        <w:spacing w:line="240" w:lineRule="auto"/>
        <w:jc w:val="both"/>
        <w:rPr>
          <w:rFonts w:ascii="Calibri" w:hAnsi="Calibri" w:cs="Calibri"/>
          <w:sz w:val="20"/>
          <w:szCs w:val="20"/>
        </w:rPr>
      </w:pPr>
      <w:r w:rsidRPr="004608B8">
        <w:rPr>
          <w:rFonts w:ascii="Calibri" w:hAnsi="Calibri" w:cs="Calibri"/>
          <w:sz w:val="20"/>
          <w:szCs w:val="20"/>
        </w:rPr>
        <w:t xml:space="preserve">Intervențiile din cadrul Priorității </w:t>
      </w:r>
      <w:r w:rsidRPr="004608B8">
        <w:rPr>
          <w:rFonts w:ascii="Calibri" w:hAnsi="Calibri" w:cs="Calibri"/>
          <w:sz w:val="20"/>
          <w:szCs w:val="20"/>
        </w:rPr>
        <w:t>4</w:t>
      </w:r>
      <w:r w:rsidRPr="004608B8">
        <w:rPr>
          <w:rFonts w:ascii="Calibri" w:hAnsi="Calibri" w:cs="Calibri"/>
          <w:sz w:val="20"/>
          <w:szCs w:val="20"/>
        </w:rPr>
        <w:t xml:space="preserve"> contribuie indirect la atingerea obiectivelor Pilonului European al Drepturilor Sociale (PEDS), prin integrarea principiilor egalității de șanse, nediscriminării și accesibilității pentru persoanele cu dizabilități ca cerințe orizontale în procesul de implementare a pro</w:t>
      </w:r>
      <w:r w:rsidRPr="004608B8">
        <w:rPr>
          <w:rFonts w:ascii="Calibri" w:hAnsi="Calibri" w:cs="Calibri"/>
          <w:sz w:val="20"/>
          <w:szCs w:val="20"/>
        </w:rPr>
        <w:t>i</w:t>
      </w:r>
      <w:r w:rsidRPr="004608B8">
        <w:rPr>
          <w:rFonts w:ascii="Calibri" w:hAnsi="Calibri" w:cs="Calibri"/>
          <w:sz w:val="20"/>
          <w:szCs w:val="20"/>
        </w:rPr>
        <w:t xml:space="preserve">ectelor. </w:t>
      </w:r>
      <w:r>
        <w:rPr>
          <w:rFonts w:ascii="Calibri" w:hAnsi="Calibri" w:cs="Calibri"/>
          <w:sz w:val="20"/>
          <w:szCs w:val="20"/>
        </w:rPr>
        <w:t>Astfel</w:t>
      </w:r>
      <w:r w:rsidR="005C243E" w:rsidRPr="005C243E">
        <w:rPr>
          <w:rFonts w:ascii="Calibri" w:hAnsi="Calibri" w:cs="Calibri"/>
          <w:sz w:val="20"/>
          <w:szCs w:val="20"/>
        </w:rPr>
        <w:t xml:space="preserve">, Prioritatea 4 sprijină îmbunătățirea accesibilității persoanelor cu dizabilități prin realizarea de rampe de acces, stații de autobuz accesibile și treceri de pietoni cu borduri coborâte etc. </w:t>
      </w:r>
    </w:p>
    <w:p w14:paraId="4CEB0B3B" w14:textId="77777777" w:rsidR="005E6D2F" w:rsidRPr="005E6D2F" w:rsidRDefault="005E6D2F" w:rsidP="005E6D2F">
      <w:pPr>
        <w:pStyle w:val="ListParagraph"/>
        <w:tabs>
          <w:tab w:val="left" w:pos="90"/>
        </w:tabs>
        <w:suppressAutoHyphens/>
        <w:spacing w:before="120" w:after="120" w:line="240" w:lineRule="auto"/>
        <w:ind w:left="0"/>
        <w:contextualSpacing w:val="0"/>
        <w:jc w:val="both"/>
        <w:rPr>
          <w:rFonts w:ascii="Calibri" w:hAnsi="Calibri" w:cs="Calibri"/>
          <w:sz w:val="20"/>
          <w:szCs w:val="20"/>
        </w:rPr>
      </w:pPr>
      <w:bookmarkStart w:id="0" w:name="_Hlk193375359"/>
      <w:r w:rsidRPr="005E6D2F">
        <w:rPr>
          <w:rFonts w:ascii="Calibri" w:hAnsi="Calibri" w:cs="Calibri"/>
          <w:sz w:val="20"/>
          <w:szCs w:val="20"/>
        </w:rPr>
        <w:lastRenderedPageBreak/>
        <w:t xml:space="preserve">La nivelul P4 se înregistrează un progres potențial numai la nivelul infrastructurii rutiere, alte domenii (de ex. infrastructura de combustibili alternativi, dezvoltarea transportului public naval, achiziția de nave pentru transportul pasagerilor) nefiind vizate de finanțare până la 31.12.2024. </w:t>
      </w:r>
      <w:bookmarkEnd w:id="0"/>
      <w:r w:rsidRPr="005E6D2F">
        <w:rPr>
          <w:rFonts w:ascii="Calibri" w:hAnsi="Calibri" w:cs="Calibri"/>
          <w:sz w:val="20"/>
          <w:szCs w:val="20"/>
        </w:rPr>
        <w:t>Se impune o accelerare a lansării apelurilor de proiecte la nivel regional și în cadrul ITI DD, derularea unui proces eficient de evaluare, selecție și contractare, precum și o implementare riguroasă.</w:t>
      </w:r>
    </w:p>
    <w:p w14:paraId="701AC1E1" w14:textId="77777777" w:rsidR="005E6D2F" w:rsidRPr="005E6D2F" w:rsidRDefault="005E6D2F" w:rsidP="005E6D2F">
      <w:pPr>
        <w:pStyle w:val="ListParagraph"/>
        <w:tabs>
          <w:tab w:val="left" w:pos="90"/>
        </w:tabs>
        <w:suppressAutoHyphens/>
        <w:spacing w:before="120" w:after="120" w:line="240" w:lineRule="auto"/>
        <w:ind w:left="0"/>
        <w:contextualSpacing w:val="0"/>
        <w:jc w:val="both"/>
        <w:rPr>
          <w:rFonts w:ascii="Calibri" w:hAnsi="Calibri" w:cs="Calibri"/>
          <w:sz w:val="20"/>
          <w:szCs w:val="20"/>
        </w:rPr>
      </w:pPr>
      <w:r w:rsidRPr="005E6D2F">
        <w:rPr>
          <w:rFonts w:ascii="Calibri" w:hAnsi="Calibri" w:cs="Calibri"/>
          <w:sz w:val="20"/>
          <w:szCs w:val="20"/>
        </w:rPr>
        <w:t>Pentru obiectivele aflate în implementare, se impune menținerea ritmului actual sau accelerarea implementării. Deși obiectivul de etapă pentru indicatorul Lungimea drumurilor reconstruite sau modernizate este depășit, ținta finală rămâne departe, ceea ce sugerează că proiectele trebuie să continue fără încetiniri. De asemenea se impune lansarea de noi apeluri pentru a acoperi țintă preconizată pentru 2029.</w:t>
      </w:r>
    </w:p>
    <w:p w14:paraId="000582BA" w14:textId="2D271835" w:rsidR="005E6D2F" w:rsidRDefault="005E6D2F" w:rsidP="005E6D2F">
      <w:pPr>
        <w:suppressAutoHyphens/>
        <w:spacing w:line="240" w:lineRule="auto"/>
        <w:jc w:val="both"/>
        <w:rPr>
          <w:rFonts w:ascii="Calibri" w:hAnsi="Calibri" w:cs="Calibri"/>
          <w:sz w:val="20"/>
          <w:szCs w:val="20"/>
        </w:rPr>
      </w:pPr>
      <w:r w:rsidRPr="005C243E">
        <w:rPr>
          <w:rFonts w:ascii="Calibri" w:hAnsi="Calibri" w:cs="Calibri"/>
          <w:sz w:val="20"/>
          <w:szCs w:val="20"/>
        </w:rPr>
        <w:t>Principalele provocări identificate la nivel program sunt legate de capacitate administrativă redusă la nivel local,</w:t>
      </w:r>
      <w:r>
        <w:rPr>
          <w:rFonts w:ascii="Calibri" w:hAnsi="Calibri" w:cs="Calibri"/>
          <w:sz w:val="20"/>
          <w:szCs w:val="20"/>
        </w:rPr>
        <w:t xml:space="preserve"> (mult mai accentuată la nivelul orașelor mici și UAT-urilor din zona ITI Delta Dunării)</w:t>
      </w:r>
      <w:r w:rsidRPr="005C243E">
        <w:rPr>
          <w:rFonts w:ascii="Calibri" w:hAnsi="Calibri" w:cs="Calibri"/>
          <w:sz w:val="20"/>
          <w:szCs w:val="20"/>
        </w:rPr>
        <w:t xml:space="preserve"> ceea ce duce la întârzieri în elaborarea și aprobarea proiectelor, birocrația excesivă în procesele de achiziție publică ce afectează derularea eficientă a proiectelor, capacitatea limitată a constructorilor de a finaliza lucrările conform termenelor stabilite, din cauza lipsei forț</w:t>
      </w:r>
      <w:r>
        <w:rPr>
          <w:rFonts w:ascii="Calibri" w:hAnsi="Calibri" w:cs="Calibri"/>
          <w:sz w:val="20"/>
          <w:szCs w:val="20"/>
        </w:rPr>
        <w:t>ei</w:t>
      </w:r>
      <w:r w:rsidRPr="005C243E">
        <w:rPr>
          <w:rFonts w:ascii="Calibri" w:hAnsi="Calibri" w:cs="Calibri"/>
          <w:sz w:val="20"/>
          <w:szCs w:val="20"/>
        </w:rPr>
        <w:t xml:space="preserve"> de muncă etc.</w:t>
      </w:r>
      <w:r>
        <w:rPr>
          <w:rFonts w:ascii="Calibri" w:hAnsi="Calibri" w:cs="Calibri"/>
          <w:sz w:val="20"/>
          <w:szCs w:val="20"/>
        </w:rPr>
        <w:t xml:space="preserve"> </w:t>
      </w:r>
    </w:p>
    <w:p w14:paraId="3ACDEAFC" w14:textId="77777777" w:rsidR="005C243E" w:rsidRPr="005C243E" w:rsidRDefault="005C243E" w:rsidP="005C243E">
      <w:pPr>
        <w:suppressAutoHyphens/>
        <w:spacing w:line="240" w:lineRule="auto"/>
        <w:jc w:val="both"/>
        <w:rPr>
          <w:rFonts w:ascii="Calibri" w:hAnsi="Calibri" w:cs="Calibri"/>
          <w:sz w:val="20"/>
          <w:szCs w:val="20"/>
        </w:rPr>
      </w:pPr>
      <w:r w:rsidRPr="005C243E">
        <w:rPr>
          <w:rFonts w:ascii="Calibri" w:hAnsi="Calibri" w:cs="Calibri"/>
          <w:sz w:val="20"/>
          <w:szCs w:val="20"/>
        </w:rPr>
        <w:t>Colaborarea strânsă și comunicarea constantă între beneficiari și reprezentanții Autorității de Management asigură un proces eficient de implementare a proiectelor.</w:t>
      </w:r>
    </w:p>
    <w:p w14:paraId="19755B6C" w14:textId="77777777" w:rsidR="00F66648" w:rsidRPr="00F66648" w:rsidRDefault="00F66648" w:rsidP="00F66648">
      <w:pPr>
        <w:spacing w:line="240" w:lineRule="auto"/>
        <w:rPr>
          <w:rFonts w:ascii="Calibri" w:hAnsi="Calibri" w:cs="Calibri"/>
          <w:b/>
          <w:sz w:val="20"/>
          <w:szCs w:val="20"/>
        </w:rPr>
      </w:pPr>
      <w:r w:rsidRPr="00F66648">
        <w:rPr>
          <w:rFonts w:ascii="Calibri" w:hAnsi="Calibri" w:cs="Calibri"/>
          <w:b/>
          <w:bCs/>
          <w:sz w:val="20"/>
          <w:szCs w:val="20"/>
        </w:rPr>
        <w:t xml:space="preserve">Recomandări </w:t>
      </w:r>
    </w:p>
    <w:p w14:paraId="464105A4" w14:textId="77777777" w:rsidR="00F66648" w:rsidRPr="00F66648" w:rsidRDefault="00F66648" w:rsidP="00F66648">
      <w:pPr>
        <w:spacing w:line="240" w:lineRule="auto"/>
        <w:rPr>
          <w:rFonts w:ascii="Calibri" w:hAnsi="Calibri" w:cs="Calibri"/>
          <w:sz w:val="20"/>
          <w:szCs w:val="20"/>
        </w:rPr>
      </w:pPr>
      <w:r w:rsidRPr="00F66648">
        <w:rPr>
          <w:rFonts w:ascii="Calibri" w:hAnsi="Calibri" w:cs="Calibri"/>
          <w:sz w:val="20"/>
          <w:szCs w:val="20"/>
        </w:rPr>
        <w:t xml:space="preserve">Pentru îmbunătățirea dinamicii de implementare a programului, se recomandă: </w:t>
      </w:r>
    </w:p>
    <w:p w14:paraId="60BC914B" w14:textId="06F5F390" w:rsidR="0064102C" w:rsidRPr="00A65566" w:rsidRDefault="0064102C" w:rsidP="00A65566">
      <w:pPr>
        <w:pStyle w:val="ListParagraph"/>
        <w:numPr>
          <w:ilvl w:val="0"/>
          <w:numId w:val="1"/>
        </w:numPr>
        <w:spacing w:before="120" w:after="120" w:line="240" w:lineRule="auto"/>
        <w:jc w:val="both"/>
        <w:rPr>
          <w:rFonts w:ascii="Calibri" w:hAnsi="Calibri" w:cs="Calibri"/>
          <w:sz w:val="20"/>
          <w:szCs w:val="20"/>
        </w:rPr>
      </w:pPr>
      <w:r w:rsidRPr="00A65566">
        <w:rPr>
          <w:rFonts w:ascii="Calibri" w:hAnsi="Calibri" w:cs="Calibri"/>
          <w:b/>
          <w:bCs/>
          <w:sz w:val="20"/>
          <w:szCs w:val="20"/>
        </w:rPr>
        <w:t>Accelerarea lansării apelurilor de proiecte</w:t>
      </w:r>
      <w:r w:rsidRPr="00A65566">
        <w:rPr>
          <w:rFonts w:ascii="Calibri" w:hAnsi="Calibri" w:cs="Calibri"/>
          <w:sz w:val="20"/>
          <w:szCs w:val="20"/>
        </w:rPr>
        <w:t xml:space="preserve"> – Este esențială lansarea rapidă a noilor apeluri, în special pentru zona ITI Delta Dunării, cu termene clare și sprijin extins pentru beneficiari în pregătirea cererilor de finanțare.</w:t>
      </w:r>
      <w:r w:rsidRPr="00A65566">
        <w:rPr>
          <w:rFonts w:ascii="Calibri" w:hAnsi="Calibri" w:cs="Calibri"/>
          <w:sz w:val="20"/>
          <w:szCs w:val="20"/>
        </w:rPr>
        <w:t xml:space="preserve"> </w:t>
      </w:r>
      <w:r w:rsidRPr="00A65566">
        <w:rPr>
          <w:rFonts w:ascii="Calibri" w:hAnsi="Calibri" w:cs="Calibri"/>
          <w:sz w:val="20"/>
          <w:szCs w:val="20"/>
        </w:rPr>
        <w:t xml:space="preserve">Menținerea unui calendar clar și predictibil al apelurilor, cu respectarea termenelor anunțate, </w:t>
      </w:r>
      <w:r w:rsidRPr="00A65566">
        <w:rPr>
          <w:rFonts w:ascii="Calibri" w:hAnsi="Calibri" w:cs="Calibri"/>
          <w:sz w:val="20"/>
          <w:szCs w:val="20"/>
        </w:rPr>
        <w:t>e</w:t>
      </w:r>
      <w:r w:rsidRPr="00A65566">
        <w:rPr>
          <w:rFonts w:ascii="Calibri" w:hAnsi="Calibri" w:cs="Calibri"/>
          <w:sz w:val="20"/>
          <w:szCs w:val="20"/>
        </w:rPr>
        <w:t xml:space="preserve">laborarea </w:t>
      </w:r>
      <w:r w:rsidRPr="00A65566">
        <w:rPr>
          <w:rFonts w:ascii="Calibri" w:hAnsi="Calibri" w:cs="Calibri"/>
          <w:sz w:val="20"/>
          <w:szCs w:val="20"/>
        </w:rPr>
        <w:t xml:space="preserve">unor </w:t>
      </w:r>
      <w:r w:rsidRPr="00A65566">
        <w:rPr>
          <w:rFonts w:ascii="Calibri" w:hAnsi="Calibri" w:cs="Calibri"/>
          <w:sz w:val="20"/>
          <w:szCs w:val="20"/>
        </w:rPr>
        <w:t xml:space="preserve">ghiduri clare pentru a evita publicarea de corrigendumuri pentru modificarea și completarea </w:t>
      </w:r>
      <w:r w:rsidRPr="00A65566">
        <w:rPr>
          <w:rFonts w:ascii="Calibri" w:hAnsi="Calibri" w:cs="Calibri"/>
          <w:sz w:val="20"/>
          <w:szCs w:val="20"/>
        </w:rPr>
        <w:t>ulterioară a acestora, o</w:t>
      </w:r>
      <w:r w:rsidRPr="00A65566">
        <w:rPr>
          <w:rFonts w:ascii="Calibri" w:hAnsi="Calibri" w:cs="Calibri"/>
          <w:sz w:val="20"/>
          <w:szCs w:val="20"/>
        </w:rPr>
        <w:t>ferirea de sprijin adecvat beneficiarilor în înțelegerea cerințelor și prevederilor ghidului solicitantului</w:t>
      </w:r>
      <w:r w:rsidRPr="00A65566">
        <w:rPr>
          <w:rFonts w:ascii="Calibri" w:hAnsi="Calibri" w:cs="Calibri"/>
          <w:sz w:val="20"/>
          <w:szCs w:val="20"/>
        </w:rPr>
        <w:t xml:space="preserve"> sunt măsuri care vor contribui la succesul implementării programului.</w:t>
      </w:r>
    </w:p>
    <w:p w14:paraId="1CEC94B2" w14:textId="77777777" w:rsidR="0064102C" w:rsidRPr="00A65566" w:rsidRDefault="0064102C" w:rsidP="00A65566">
      <w:pPr>
        <w:pStyle w:val="ListParagraph"/>
        <w:numPr>
          <w:ilvl w:val="0"/>
          <w:numId w:val="1"/>
        </w:numPr>
        <w:spacing w:before="120" w:after="120" w:line="240" w:lineRule="auto"/>
        <w:jc w:val="both"/>
        <w:rPr>
          <w:rFonts w:ascii="Calibri" w:hAnsi="Calibri" w:cs="Calibri"/>
          <w:sz w:val="20"/>
          <w:szCs w:val="20"/>
        </w:rPr>
      </w:pPr>
      <w:r w:rsidRPr="00A65566">
        <w:rPr>
          <w:rFonts w:ascii="Calibri" w:hAnsi="Calibri" w:cs="Calibri"/>
          <w:b/>
          <w:bCs/>
          <w:sz w:val="20"/>
          <w:szCs w:val="20"/>
        </w:rPr>
        <w:t>Îmbunătățirea capacității administrative a Autorității de Management</w:t>
      </w:r>
      <w:r w:rsidRPr="00A65566">
        <w:rPr>
          <w:rFonts w:ascii="Calibri" w:hAnsi="Calibri" w:cs="Calibri"/>
          <w:sz w:val="20"/>
          <w:szCs w:val="20"/>
        </w:rPr>
        <w:t xml:space="preserve"> – Extinderea personalului (evaluatori, personal care elaborează ghidurile solicitantului, ofițeri de contractare ofițeri de monitorizare specializați), precum și optimizarea proceselor de evaluare, selecție, contractare, implementare sunt necesare pentru a evita întârzierile.</w:t>
      </w:r>
    </w:p>
    <w:p w14:paraId="3DF3E2A5" w14:textId="69AF069A" w:rsidR="0064102C" w:rsidRPr="00A65566" w:rsidRDefault="0064102C" w:rsidP="00A65566">
      <w:pPr>
        <w:pStyle w:val="ListParagraph"/>
        <w:numPr>
          <w:ilvl w:val="0"/>
          <w:numId w:val="1"/>
        </w:numPr>
        <w:spacing w:before="120" w:after="120" w:line="240" w:lineRule="auto"/>
        <w:jc w:val="both"/>
        <w:rPr>
          <w:rFonts w:ascii="Calibri" w:hAnsi="Calibri" w:cs="Calibri"/>
          <w:sz w:val="20"/>
          <w:szCs w:val="20"/>
          <w:lang w:val="en-US"/>
        </w:rPr>
      </w:pPr>
      <w:r w:rsidRPr="00A65566">
        <w:rPr>
          <w:rFonts w:ascii="Calibri" w:hAnsi="Calibri" w:cs="Calibri"/>
          <w:b/>
          <w:bCs/>
          <w:sz w:val="20"/>
          <w:szCs w:val="20"/>
          <w:lang w:val="en-US"/>
        </w:rPr>
        <w:t>Optimizarea proceselor administrative</w:t>
      </w:r>
      <w:r w:rsidRPr="00A65566">
        <w:rPr>
          <w:rFonts w:ascii="Calibri" w:hAnsi="Calibri" w:cs="Calibri"/>
          <w:sz w:val="20"/>
          <w:szCs w:val="20"/>
          <w:lang w:val="en-US"/>
        </w:rPr>
        <w:t xml:space="preserve"> – </w:t>
      </w:r>
      <w:r w:rsidRPr="00A65566">
        <w:rPr>
          <w:rFonts w:ascii="Calibri" w:hAnsi="Calibri" w:cs="Calibri"/>
          <w:sz w:val="20"/>
          <w:szCs w:val="20"/>
        </w:rPr>
        <w:t>Simplificarea</w:t>
      </w:r>
      <w:r w:rsidRPr="00A65566">
        <w:rPr>
          <w:rFonts w:ascii="Calibri" w:hAnsi="Calibri" w:cs="Calibri"/>
          <w:sz w:val="20"/>
          <w:szCs w:val="20"/>
          <w:lang w:val="en-US"/>
        </w:rPr>
        <w:t xml:space="preserve"> documentației solicitate, eliminarea redundanțelor în raportare și adaptarea mecanismelor de revizuire a bugetelor proiectelor pentru a reflecta creșterile de prețuri din piață.</w:t>
      </w:r>
      <w:r w:rsidRPr="00A65566">
        <w:rPr>
          <w:rFonts w:ascii="Calibri" w:hAnsi="Calibri" w:cs="Calibri"/>
          <w:sz w:val="20"/>
          <w:szCs w:val="20"/>
          <w:lang w:val="en-US"/>
        </w:rPr>
        <w:t xml:space="preserve"> </w:t>
      </w:r>
      <w:r w:rsidRPr="00A65566">
        <w:rPr>
          <w:rFonts w:ascii="Calibri" w:hAnsi="Calibri" w:cs="Calibri"/>
          <w:sz w:val="20"/>
          <w:szCs w:val="20"/>
        </w:rPr>
        <w:t>Automatizarea proceselor prin dezvoltarea de noi funcționalități ale platformei MySMIS (de exemplu, interconectarea MySMIS cu diverse baze de date naționale, precum RECOM, REGAS, REVISAL, etc.)</w:t>
      </w:r>
      <w:r w:rsidRPr="00A65566">
        <w:rPr>
          <w:rFonts w:ascii="Calibri" w:hAnsi="Calibri" w:cs="Calibri"/>
          <w:sz w:val="20"/>
          <w:szCs w:val="20"/>
        </w:rPr>
        <w:t>, s</w:t>
      </w:r>
      <w:r w:rsidRPr="00A65566">
        <w:rPr>
          <w:rFonts w:ascii="Calibri" w:hAnsi="Calibri" w:cs="Calibri"/>
          <w:sz w:val="20"/>
          <w:szCs w:val="20"/>
        </w:rPr>
        <w:t xml:space="preserve">implificarea și reducerea timpilor necesari pentru aprobarea actelor adiționale de modificare a contractelor de finanțare, </w:t>
      </w:r>
      <w:r w:rsidRPr="00A65566">
        <w:rPr>
          <w:rFonts w:ascii="Calibri" w:hAnsi="Calibri" w:cs="Calibri"/>
          <w:sz w:val="20"/>
          <w:szCs w:val="20"/>
        </w:rPr>
        <w:t>d</w:t>
      </w:r>
      <w:r w:rsidRPr="00A65566">
        <w:rPr>
          <w:rFonts w:ascii="Calibri" w:hAnsi="Calibri" w:cs="Calibri"/>
          <w:sz w:val="20"/>
          <w:szCs w:val="20"/>
        </w:rPr>
        <w:t>ezvoltarea unor mecanisme simple și ușor de aplicat pentru a compensa eventualele creșteri de prețuri din piață (OUG nr. 15/2021 și nr. 64/2022 au fost mult prea complexe)</w:t>
      </w:r>
      <w:r w:rsidRPr="00A65566">
        <w:rPr>
          <w:rFonts w:ascii="Calibri" w:hAnsi="Calibri" w:cs="Calibri"/>
          <w:sz w:val="20"/>
          <w:szCs w:val="20"/>
          <w:lang w:val="en-US"/>
        </w:rPr>
        <w:t xml:space="preserve"> vor asigura optimiza</w:t>
      </w:r>
      <w:r w:rsidR="00A65566" w:rsidRPr="00A65566">
        <w:rPr>
          <w:rFonts w:ascii="Calibri" w:hAnsi="Calibri" w:cs="Calibri"/>
          <w:sz w:val="20"/>
          <w:szCs w:val="20"/>
          <w:lang w:val="en-US"/>
        </w:rPr>
        <w:t xml:space="preserve">rea </w:t>
      </w:r>
      <w:r w:rsidRPr="00A65566">
        <w:rPr>
          <w:rFonts w:ascii="Calibri" w:hAnsi="Calibri" w:cs="Calibri"/>
          <w:sz w:val="20"/>
          <w:szCs w:val="20"/>
          <w:lang w:val="en-US"/>
        </w:rPr>
        <w:t>implement</w:t>
      </w:r>
      <w:r w:rsidR="00A65566" w:rsidRPr="00A65566">
        <w:rPr>
          <w:rFonts w:ascii="Calibri" w:hAnsi="Calibri" w:cs="Calibri"/>
          <w:sz w:val="20"/>
          <w:szCs w:val="20"/>
          <w:lang w:val="en-US"/>
        </w:rPr>
        <w:t>ării</w:t>
      </w:r>
      <w:r w:rsidRPr="00A65566">
        <w:rPr>
          <w:rFonts w:ascii="Calibri" w:hAnsi="Calibri" w:cs="Calibri"/>
          <w:sz w:val="20"/>
          <w:szCs w:val="20"/>
          <w:lang w:val="en-US"/>
        </w:rPr>
        <w:t xml:space="preserve"> programului </w:t>
      </w:r>
    </w:p>
    <w:p w14:paraId="53FAB4E2" w14:textId="081BCFCC" w:rsidR="0064102C" w:rsidRPr="00A65566" w:rsidRDefault="0064102C" w:rsidP="00A65566">
      <w:pPr>
        <w:pStyle w:val="ListParagraph"/>
        <w:numPr>
          <w:ilvl w:val="0"/>
          <w:numId w:val="1"/>
        </w:numPr>
        <w:spacing w:before="120" w:after="120" w:line="240" w:lineRule="auto"/>
        <w:jc w:val="both"/>
        <w:rPr>
          <w:rFonts w:ascii="Calibri" w:hAnsi="Calibri" w:cs="Calibri"/>
          <w:sz w:val="20"/>
          <w:szCs w:val="20"/>
          <w:lang w:val="en-US"/>
        </w:rPr>
      </w:pPr>
      <w:r w:rsidRPr="00A65566">
        <w:rPr>
          <w:rFonts w:ascii="Calibri" w:hAnsi="Calibri" w:cs="Calibri"/>
          <w:b/>
          <w:bCs/>
          <w:sz w:val="20"/>
          <w:szCs w:val="20"/>
          <w:lang w:val="en-US"/>
        </w:rPr>
        <w:t>Creșterea sprijinului tehnic și administrativ oferit beneficiarilor</w:t>
      </w:r>
      <w:r w:rsidRPr="00A65566">
        <w:rPr>
          <w:rFonts w:ascii="Calibri" w:hAnsi="Calibri" w:cs="Calibri"/>
          <w:sz w:val="20"/>
          <w:szCs w:val="20"/>
          <w:lang w:val="en-US"/>
        </w:rPr>
        <w:t xml:space="preserve"> prin ghiduri metodologice detaliate, sesiuni de instruire periodice și suport dedicat pentru depășirea dificultăților legate de platforma </w:t>
      </w:r>
      <w:r w:rsidRPr="00A65566">
        <w:rPr>
          <w:rFonts w:ascii="Calibri" w:hAnsi="Calibri" w:cs="Calibri"/>
          <w:sz w:val="20"/>
          <w:szCs w:val="20"/>
        </w:rPr>
        <w:t>MySMIS</w:t>
      </w:r>
      <w:r w:rsidRPr="00A65566">
        <w:rPr>
          <w:rFonts w:ascii="Calibri" w:hAnsi="Calibri" w:cs="Calibri"/>
          <w:sz w:val="20"/>
          <w:szCs w:val="20"/>
          <w:lang w:val="en-US"/>
        </w:rPr>
        <w:t xml:space="preserve"> și cerințele DNSH și PEDS.</w:t>
      </w:r>
      <w:r w:rsidR="00A65566" w:rsidRPr="00A65566">
        <w:rPr>
          <w:rFonts w:ascii="Calibri" w:hAnsi="Calibri" w:cs="Calibri"/>
          <w:sz w:val="20"/>
          <w:szCs w:val="20"/>
          <w:lang w:val="en-US"/>
        </w:rPr>
        <w:t xml:space="preserve"> </w:t>
      </w:r>
      <w:r w:rsidRPr="00A65566">
        <w:rPr>
          <w:rFonts w:ascii="Calibri" w:hAnsi="Calibri" w:cs="Calibri"/>
          <w:sz w:val="20"/>
          <w:szCs w:val="20"/>
        </w:rPr>
        <w:t>Automatizarea proceselor prin dezvoltarea unor noi funcționalități ale platformei MySMIS</w:t>
      </w:r>
      <w:r w:rsidR="00A65566" w:rsidRPr="00A65566">
        <w:rPr>
          <w:rFonts w:ascii="Calibri" w:hAnsi="Calibri" w:cs="Calibri"/>
          <w:sz w:val="20"/>
          <w:szCs w:val="20"/>
        </w:rPr>
        <w:t xml:space="preserve"> (</w:t>
      </w:r>
      <w:r w:rsidRPr="00A65566">
        <w:rPr>
          <w:rFonts w:ascii="Calibri" w:hAnsi="Calibri" w:cs="Calibri"/>
          <w:sz w:val="20"/>
          <w:szCs w:val="20"/>
        </w:rPr>
        <w:t xml:space="preserve">de exemplu, posibilitatea de a încărca un document în mai multe secțiuni ale platformei prin simpla bifare a secțiunilor relevante </w:t>
      </w:r>
      <w:r w:rsidR="00A65566" w:rsidRPr="00A65566">
        <w:rPr>
          <w:rFonts w:ascii="Calibri" w:hAnsi="Calibri" w:cs="Calibri"/>
          <w:sz w:val="20"/>
          <w:szCs w:val="20"/>
        </w:rPr>
        <w:t xml:space="preserve">- </w:t>
      </w:r>
      <w:r w:rsidRPr="00A65566">
        <w:rPr>
          <w:rFonts w:ascii="Calibri" w:hAnsi="Calibri" w:cs="Calibri"/>
          <w:sz w:val="20"/>
          <w:szCs w:val="20"/>
        </w:rPr>
        <w:t>monitorizare</w:t>
      </w:r>
      <w:r w:rsidR="00A65566" w:rsidRPr="00A65566">
        <w:rPr>
          <w:rFonts w:ascii="Calibri" w:hAnsi="Calibri" w:cs="Calibri"/>
          <w:sz w:val="20"/>
          <w:szCs w:val="20"/>
        </w:rPr>
        <w:t xml:space="preserve">, </w:t>
      </w:r>
      <w:r w:rsidRPr="00A65566">
        <w:rPr>
          <w:rFonts w:ascii="Calibri" w:hAnsi="Calibri" w:cs="Calibri"/>
          <w:sz w:val="20"/>
          <w:szCs w:val="20"/>
        </w:rPr>
        <w:t>financiar)</w:t>
      </w:r>
      <w:r w:rsidR="00A65566" w:rsidRPr="00A65566">
        <w:rPr>
          <w:rFonts w:ascii="Calibri" w:hAnsi="Calibri" w:cs="Calibri"/>
          <w:sz w:val="20"/>
          <w:szCs w:val="20"/>
        </w:rPr>
        <w:t>, p</w:t>
      </w:r>
      <w:r w:rsidRPr="00A65566">
        <w:rPr>
          <w:rFonts w:ascii="Calibri" w:hAnsi="Calibri" w:cs="Calibri"/>
          <w:sz w:val="20"/>
          <w:szCs w:val="20"/>
        </w:rPr>
        <w:t>romovarea adecvată a sesiunilor de instruire, organizarea periodică a acestora pentru a sprijini beneficiarii atât în pregătirea cererilor de finanțare, cât și în etapa de implementare a proiectelor</w:t>
      </w:r>
      <w:r w:rsidR="00A65566" w:rsidRPr="00A65566">
        <w:rPr>
          <w:rFonts w:ascii="Calibri" w:hAnsi="Calibri" w:cs="Calibri"/>
          <w:sz w:val="20"/>
          <w:szCs w:val="20"/>
        </w:rPr>
        <w:t>, o</w:t>
      </w:r>
      <w:r w:rsidRPr="00A65566">
        <w:rPr>
          <w:rFonts w:ascii="Calibri" w:hAnsi="Calibri" w:cs="Calibri"/>
          <w:sz w:val="20"/>
          <w:szCs w:val="20"/>
        </w:rPr>
        <w:t xml:space="preserve">rganizarea de webinarii cu beneficiarii pentru a facilita schimbul de experiență în ceea ce privește dificultățile întâmpinate în implementare și soluțiile identificate, </w:t>
      </w:r>
      <w:r w:rsidR="00A65566" w:rsidRPr="00A65566">
        <w:rPr>
          <w:rFonts w:ascii="Calibri" w:hAnsi="Calibri" w:cs="Calibri"/>
          <w:sz w:val="20"/>
          <w:szCs w:val="20"/>
        </w:rPr>
        <w:t>s</w:t>
      </w:r>
      <w:r w:rsidRPr="00A65566">
        <w:rPr>
          <w:rFonts w:ascii="Calibri" w:hAnsi="Calibri" w:cs="Calibri"/>
          <w:sz w:val="20"/>
          <w:szCs w:val="20"/>
        </w:rPr>
        <w:t>prijin pentru ben</w:t>
      </w:r>
      <w:r w:rsidRPr="00A65566">
        <w:rPr>
          <w:rFonts w:ascii="Calibri" w:hAnsi="Calibri" w:cs="Calibri"/>
          <w:sz w:val="20"/>
          <w:szCs w:val="20"/>
          <w:lang w:val="en-US"/>
        </w:rPr>
        <w:t xml:space="preserve">eficiari în înțelegerea </w:t>
      </w:r>
      <w:r w:rsidR="00A65566" w:rsidRPr="00A65566">
        <w:rPr>
          <w:rFonts w:ascii="Calibri" w:hAnsi="Calibri" w:cs="Calibri"/>
          <w:sz w:val="20"/>
          <w:szCs w:val="20"/>
          <w:lang w:val="en-US"/>
        </w:rPr>
        <w:t>m</w:t>
      </w:r>
      <w:r w:rsidRPr="00A65566">
        <w:rPr>
          <w:rFonts w:ascii="Calibri" w:hAnsi="Calibri" w:cs="Calibri"/>
          <w:sz w:val="20"/>
          <w:szCs w:val="20"/>
          <w:lang w:val="en-US"/>
        </w:rPr>
        <w:t>etodologiei DNSH și aplicarea principiilor PEDS prin exemple practice și inovative</w:t>
      </w:r>
      <w:r w:rsidR="00A65566" w:rsidRPr="00A65566">
        <w:rPr>
          <w:rFonts w:ascii="Calibri" w:hAnsi="Calibri" w:cs="Calibri"/>
          <w:sz w:val="20"/>
          <w:szCs w:val="20"/>
          <w:lang w:val="en-US"/>
        </w:rPr>
        <w:t xml:space="preserve"> sunt măsuri ce pot contribui la îmbunătățirea implementării programului. </w:t>
      </w:r>
    </w:p>
    <w:p w14:paraId="463F6EBA" w14:textId="77777777" w:rsidR="0064102C" w:rsidRPr="00A65566" w:rsidRDefault="0064102C" w:rsidP="00A65566">
      <w:pPr>
        <w:pStyle w:val="ListParagraph"/>
        <w:numPr>
          <w:ilvl w:val="0"/>
          <w:numId w:val="1"/>
        </w:numPr>
        <w:spacing w:before="120" w:after="120" w:line="240" w:lineRule="auto"/>
        <w:jc w:val="both"/>
        <w:rPr>
          <w:rFonts w:ascii="Calibri" w:hAnsi="Calibri" w:cs="Calibri"/>
          <w:sz w:val="20"/>
          <w:szCs w:val="20"/>
        </w:rPr>
      </w:pPr>
      <w:r w:rsidRPr="00A65566">
        <w:rPr>
          <w:rFonts w:ascii="Calibri" w:hAnsi="Calibri" w:cs="Calibri"/>
          <w:b/>
          <w:bCs/>
          <w:sz w:val="20"/>
          <w:szCs w:val="20"/>
        </w:rPr>
        <w:lastRenderedPageBreak/>
        <w:t>Lansarea unor campanii de informare și educație privind beneficiile utilizării combustibililor alternativi</w:t>
      </w:r>
      <w:r w:rsidRPr="00A65566">
        <w:rPr>
          <w:rFonts w:ascii="Calibri" w:hAnsi="Calibri" w:cs="Calibri"/>
          <w:sz w:val="20"/>
          <w:szCs w:val="20"/>
        </w:rPr>
        <w:t xml:space="preserve"> pentru a crește interesul beneficiarilor de a dezvolta infrastructura aferentă. De </w:t>
      </w:r>
      <w:r w:rsidRPr="00A65566">
        <w:rPr>
          <w:rFonts w:ascii="Calibri" w:hAnsi="Calibri" w:cs="Calibri"/>
          <w:sz w:val="20"/>
          <w:szCs w:val="20"/>
          <w:lang w:val="en-US"/>
        </w:rPr>
        <w:t>exemplu</w:t>
      </w:r>
      <w:r w:rsidRPr="00A65566">
        <w:rPr>
          <w:rFonts w:ascii="Calibri" w:hAnsi="Calibri" w:cs="Calibri"/>
          <w:sz w:val="20"/>
          <w:szCs w:val="20"/>
        </w:rPr>
        <w:t>: Promovarea în rândul beneficiarilor a acestor investiții ca o măsură DNSH.</w:t>
      </w:r>
    </w:p>
    <w:p w14:paraId="60C5FD63" w14:textId="77777777" w:rsidR="0064102C" w:rsidRPr="00A65566" w:rsidRDefault="0064102C" w:rsidP="00A65566">
      <w:pPr>
        <w:pStyle w:val="ListParagraph"/>
        <w:numPr>
          <w:ilvl w:val="0"/>
          <w:numId w:val="1"/>
        </w:numPr>
        <w:spacing w:before="120" w:after="120" w:line="240" w:lineRule="auto"/>
        <w:jc w:val="both"/>
        <w:rPr>
          <w:rFonts w:ascii="Calibri" w:hAnsi="Calibri" w:cs="Calibri"/>
          <w:sz w:val="20"/>
          <w:szCs w:val="20"/>
        </w:rPr>
      </w:pPr>
      <w:r w:rsidRPr="00A65566">
        <w:rPr>
          <w:rFonts w:ascii="Calibri" w:hAnsi="Calibri" w:cs="Calibri"/>
          <w:b/>
          <w:bCs/>
          <w:sz w:val="20"/>
          <w:szCs w:val="20"/>
        </w:rPr>
        <w:t>Asistență tehnică personalizată pentru beneficiarii cu capacitate administrativă redusă</w:t>
      </w:r>
      <w:r w:rsidRPr="00A65566">
        <w:rPr>
          <w:rFonts w:ascii="Calibri" w:hAnsi="Calibri" w:cs="Calibri"/>
          <w:sz w:val="20"/>
          <w:szCs w:val="20"/>
        </w:rPr>
        <w:t>, în special orașele mici, pentru a evita blocajele și întârzierile.</w:t>
      </w:r>
    </w:p>
    <w:p w14:paraId="45B8B1BC" w14:textId="77777777" w:rsidR="0064102C" w:rsidRPr="00A65566" w:rsidRDefault="0064102C" w:rsidP="0064102C">
      <w:pPr>
        <w:spacing w:before="120" w:after="120" w:line="240" w:lineRule="auto"/>
        <w:jc w:val="both"/>
        <w:rPr>
          <w:rFonts w:ascii="Calibri" w:hAnsi="Calibri" w:cs="Calibri"/>
          <w:sz w:val="20"/>
          <w:szCs w:val="20"/>
        </w:rPr>
      </w:pPr>
    </w:p>
    <w:sectPr w:rsidR="0064102C" w:rsidRPr="00A65566">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3433F8" w14:textId="77777777" w:rsidR="007F6073" w:rsidRDefault="007F6073" w:rsidP="005C6B44">
      <w:pPr>
        <w:spacing w:after="0" w:line="240" w:lineRule="auto"/>
      </w:pPr>
      <w:r>
        <w:separator/>
      </w:r>
    </w:p>
  </w:endnote>
  <w:endnote w:type="continuationSeparator" w:id="0">
    <w:p w14:paraId="1DFB97D7" w14:textId="77777777" w:rsidR="007F6073" w:rsidRDefault="007F6073" w:rsidP="005C6B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941A0E" w14:textId="6B48CD90" w:rsidR="00BD46AB" w:rsidRDefault="00D814BF">
    <w:pPr>
      <w:pStyle w:val="Footer"/>
    </w:pPr>
    <w:r w:rsidRPr="00D814BF">
      <w:rPr>
        <w:noProof/>
      </w:rPr>
      <w:drawing>
        <wp:inline distT="0" distB="0" distL="0" distR="0" wp14:anchorId="439098DD" wp14:editId="75FA12B9">
          <wp:extent cx="5943600" cy="281940"/>
          <wp:effectExtent l="0" t="0" r="0" b="0"/>
          <wp:docPr id="139278162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281940"/>
                  </a:xfrm>
                  <a:prstGeom prst="rect">
                    <a:avLst/>
                  </a:prstGeom>
                  <a:noFill/>
                  <a:ln>
                    <a:noFill/>
                  </a:ln>
                </pic:spPr>
              </pic:pic>
            </a:graphicData>
          </a:graphic>
        </wp:inline>
      </w:drawing>
    </w:r>
    <w:r w:rsidR="00BD46AB" w:rsidRPr="003A668F">
      <w:rPr>
        <w:rFonts w:ascii="Calibri" w:hAnsi="Calibri" w:cs="Calibri"/>
        <w:b/>
        <w:bCs/>
        <w:noProof/>
        <w:color w:val="213F99"/>
        <w:sz w:val="20"/>
        <w:szCs w:val="20"/>
      </w:rPr>
      <w:drawing>
        <wp:anchor distT="0" distB="0" distL="114300" distR="114300" simplePos="0" relativeHeight="251659264" behindDoc="0" locked="0" layoutInCell="1" allowOverlap="1" wp14:anchorId="4EDDB700" wp14:editId="435B7869">
          <wp:simplePos x="0" y="0"/>
          <wp:positionH relativeFrom="page">
            <wp:align>right</wp:align>
          </wp:positionH>
          <wp:positionV relativeFrom="paragraph">
            <wp:posOffset>-180975</wp:posOffset>
          </wp:positionV>
          <wp:extent cx="7764780" cy="123190"/>
          <wp:effectExtent l="0" t="0" r="7620" b="0"/>
          <wp:wrapNone/>
          <wp:docPr id="1459224565" name="Imagine 1619975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9975028" name=""/>
                  <pic:cNvPicPr/>
                </pic:nvPicPr>
                <pic:blipFill>
                  <a:blip r:embed="rId2">
                    <a:extLst>
                      <a:ext uri="{28A0092B-C50C-407E-A947-70E740481C1C}">
                        <a14:useLocalDpi xmlns:a14="http://schemas.microsoft.com/office/drawing/2010/main" val="0"/>
                      </a:ext>
                    </a:extLst>
                  </a:blip>
                  <a:stretch>
                    <a:fillRect/>
                  </a:stretch>
                </pic:blipFill>
                <pic:spPr>
                  <a:xfrm>
                    <a:off x="0" y="0"/>
                    <a:ext cx="7764780" cy="12319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C95796" w14:textId="77777777" w:rsidR="007F6073" w:rsidRDefault="007F6073" w:rsidP="005C6B44">
      <w:pPr>
        <w:spacing w:after="0" w:line="240" w:lineRule="auto"/>
      </w:pPr>
      <w:r>
        <w:separator/>
      </w:r>
    </w:p>
  </w:footnote>
  <w:footnote w:type="continuationSeparator" w:id="0">
    <w:p w14:paraId="21946093" w14:textId="77777777" w:rsidR="007F6073" w:rsidRDefault="007F6073" w:rsidP="005C6B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462110" w14:textId="62EAAC75" w:rsidR="005C6B44" w:rsidRPr="005C6B44" w:rsidRDefault="005C6B44" w:rsidP="005C6B44">
    <w:pPr>
      <w:pStyle w:val="Header"/>
      <w:rPr>
        <w:lang w:val="en-US"/>
      </w:rPr>
    </w:pPr>
    <w:r w:rsidRPr="005C6B44">
      <w:rPr>
        <w:noProof/>
        <w:lang w:val="en-US"/>
      </w:rPr>
      <w:drawing>
        <wp:inline distT="0" distB="0" distL="0" distR="0" wp14:anchorId="1423B0E6" wp14:editId="400D8D18">
          <wp:extent cx="5943600" cy="659765"/>
          <wp:effectExtent l="0" t="0" r="0" b="6985"/>
          <wp:docPr id="51839241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659765"/>
                  </a:xfrm>
                  <a:prstGeom prst="rect">
                    <a:avLst/>
                  </a:prstGeom>
                  <a:noFill/>
                  <a:ln>
                    <a:noFill/>
                  </a:ln>
                </pic:spPr>
              </pic:pic>
            </a:graphicData>
          </a:graphic>
        </wp:inline>
      </w:drawing>
    </w:r>
  </w:p>
  <w:p w14:paraId="4DBDB2D6" w14:textId="77777777" w:rsidR="005C6B44" w:rsidRDefault="005C6B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7A073E"/>
    <w:multiLevelType w:val="multilevel"/>
    <w:tmpl w:val="BAB40B72"/>
    <w:lvl w:ilvl="0">
      <w:start w:val="1"/>
      <w:numFmt w:val="decimal"/>
      <w:lvlText w:val="%1."/>
      <w:lvlJc w:val="left"/>
      <w:rPr>
        <w:rFonts w:ascii="Calibri" w:hAnsi="Calibri" w:cs="Calibri" w:hint="default"/>
        <w:b w:val="0"/>
        <w:bCs w:val="0"/>
        <w:i w:val="0"/>
        <w:iCs w:val="0"/>
        <w:caps w:val="0"/>
        <w:smallCaps w:val="0"/>
        <w:strike w:val="0"/>
        <w:dstrike w:val="0"/>
        <w:noProof w:val="0"/>
        <w:vanish w:val="0"/>
        <w:color w:val="auto"/>
        <w:spacing w:val="0"/>
        <w:kern w:val="0"/>
        <w:position w:val="0"/>
        <w:sz w:val="20"/>
        <w:szCs w:val="20"/>
        <w:u w:val="none"/>
        <w:effect w:val="none"/>
        <w:vertAlign w:val="baseline"/>
        <w:em w:val="none"/>
        <w:specVanish w:val="0"/>
      </w:rPr>
    </w:lvl>
    <w:lvl w:ilvl="1">
      <w:start w:val="1"/>
      <w:numFmt w:val="decimal"/>
      <w:isLgl/>
      <w:lvlText w:val="%1.%2."/>
      <w:lvlJc w:val="left"/>
      <w:pPr>
        <w:ind w:left="1797" w:hanging="360"/>
      </w:pPr>
      <w:rPr>
        <w:rFonts w:hint="default"/>
      </w:rPr>
    </w:lvl>
    <w:lvl w:ilvl="2">
      <w:start w:val="1"/>
      <w:numFmt w:val="decimal"/>
      <w:isLgl/>
      <w:lvlText w:val="%1.%2.%3."/>
      <w:lvlJc w:val="left"/>
      <w:pPr>
        <w:ind w:left="2874" w:hanging="720"/>
      </w:pPr>
      <w:rPr>
        <w:rFonts w:hint="default"/>
      </w:rPr>
    </w:lvl>
    <w:lvl w:ilvl="3">
      <w:start w:val="1"/>
      <w:numFmt w:val="decimal"/>
      <w:isLgl/>
      <w:lvlText w:val="%1.%2.%3.%4."/>
      <w:lvlJc w:val="left"/>
      <w:pPr>
        <w:ind w:left="3591" w:hanging="720"/>
      </w:pPr>
      <w:rPr>
        <w:rFonts w:hint="default"/>
      </w:rPr>
    </w:lvl>
    <w:lvl w:ilvl="4">
      <w:start w:val="1"/>
      <w:numFmt w:val="decimal"/>
      <w:isLgl/>
      <w:lvlText w:val="%1.%2.%3.%4.%5."/>
      <w:lvlJc w:val="left"/>
      <w:pPr>
        <w:ind w:left="4668" w:hanging="1080"/>
      </w:pPr>
      <w:rPr>
        <w:rFonts w:hint="default"/>
      </w:rPr>
    </w:lvl>
    <w:lvl w:ilvl="5">
      <w:start w:val="1"/>
      <w:numFmt w:val="decimal"/>
      <w:isLgl/>
      <w:lvlText w:val="%1.%2.%3.%4.%5.%6."/>
      <w:lvlJc w:val="left"/>
      <w:pPr>
        <w:ind w:left="5385" w:hanging="1080"/>
      </w:pPr>
      <w:rPr>
        <w:rFonts w:hint="default"/>
      </w:rPr>
    </w:lvl>
    <w:lvl w:ilvl="6">
      <w:start w:val="1"/>
      <w:numFmt w:val="decimal"/>
      <w:isLgl/>
      <w:lvlText w:val="%1.%2.%3.%4.%5.%6.%7."/>
      <w:lvlJc w:val="left"/>
      <w:pPr>
        <w:ind w:left="6462" w:hanging="1440"/>
      </w:pPr>
      <w:rPr>
        <w:rFonts w:hint="default"/>
      </w:rPr>
    </w:lvl>
    <w:lvl w:ilvl="7">
      <w:start w:val="1"/>
      <w:numFmt w:val="decimal"/>
      <w:isLgl/>
      <w:lvlText w:val="%1.%2.%3.%4.%5.%6.%7.%8."/>
      <w:lvlJc w:val="left"/>
      <w:pPr>
        <w:ind w:left="7179" w:hanging="1440"/>
      </w:pPr>
      <w:rPr>
        <w:rFonts w:hint="default"/>
      </w:rPr>
    </w:lvl>
    <w:lvl w:ilvl="8">
      <w:start w:val="1"/>
      <w:numFmt w:val="decimal"/>
      <w:isLgl/>
      <w:lvlText w:val="%1.%2.%3.%4.%5.%6.%7.%8.%9."/>
      <w:lvlJc w:val="left"/>
      <w:pPr>
        <w:ind w:left="8256" w:hanging="1800"/>
      </w:pPr>
      <w:rPr>
        <w:rFonts w:hint="default"/>
      </w:rPr>
    </w:lvl>
  </w:abstractNum>
  <w:abstractNum w:abstractNumId="1" w15:restartNumberingAfterBreak="0">
    <w:nsid w:val="2BDF3AE1"/>
    <w:multiLevelType w:val="singleLevel"/>
    <w:tmpl w:val="A502A7AE"/>
    <w:lvl w:ilvl="0">
      <w:start w:val="1"/>
      <w:numFmt w:val="bullet"/>
      <w:lvlText w:val=""/>
      <w:lvlJc w:val="left"/>
      <w:pPr>
        <w:ind w:left="360" w:hanging="360"/>
      </w:pPr>
      <w:rPr>
        <w:rFonts w:ascii="Symbol" w:hAnsi="Symbol" w:hint="default"/>
        <w:color w:val="77206D" w:themeColor="accent5" w:themeShade="BF"/>
        <w:sz w:val="20"/>
        <w:szCs w:val="20"/>
      </w:rPr>
    </w:lvl>
  </w:abstractNum>
  <w:abstractNum w:abstractNumId="2" w15:restartNumberingAfterBreak="0">
    <w:nsid w:val="6D1635D5"/>
    <w:multiLevelType w:val="hybridMultilevel"/>
    <w:tmpl w:val="CDF48B8E"/>
    <w:lvl w:ilvl="0" w:tplc="A502A7AE">
      <w:start w:val="1"/>
      <w:numFmt w:val="bullet"/>
      <w:lvlText w:val=""/>
      <w:lvlJc w:val="left"/>
      <w:pPr>
        <w:ind w:left="720" w:hanging="360"/>
      </w:pPr>
      <w:rPr>
        <w:rFonts w:ascii="Symbol" w:hAnsi="Symbol" w:hint="default"/>
        <w:color w:val="77206D" w:themeColor="accent5" w:themeShade="BF"/>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25730352">
    <w:abstractNumId w:val="2"/>
  </w:num>
  <w:num w:numId="2" w16cid:durableId="817068777">
    <w:abstractNumId w:val="0"/>
  </w:num>
  <w:num w:numId="3" w16cid:durableId="10910468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84A02E4"/>
    <w:rsid w:val="000D4D69"/>
    <w:rsid w:val="00291517"/>
    <w:rsid w:val="00447A2C"/>
    <w:rsid w:val="004608B8"/>
    <w:rsid w:val="004A6DE6"/>
    <w:rsid w:val="005C243E"/>
    <w:rsid w:val="005C6B44"/>
    <w:rsid w:val="005E6D2F"/>
    <w:rsid w:val="0064102C"/>
    <w:rsid w:val="007F6073"/>
    <w:rsid w:val="00920F10"/>
    <w:rsid w:val="00A65566"/>
    <w:rsid w:val="00BD46AB"/>
    <w:rsid w:val="00D814BF"/>
    <w:rsid w:val="00EB7929"/>
    <w:rsid w:val="00F66648"/>
    <w:rsid w:val="084A02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4A02E4"/>
  <w15:chartTrackingRefBased/>
  <w15:docId w15:val="{DAAABD20-DAA6-4E86-A0CC-D9C18C2AB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aliases w:val="Normal bullet 2,List Paragraph1,Bullet 1,Table of contents numbered,A_wyliczenie,K-P_odwolanie,Akapit z listą5,maz_wyliczenie,opis dzialania,Akapit z listą BS,Outlines a.b.c.,List_Paragraph,Multilevel para_II,Akapit z lista BS,WB Para,lp1"/>
    <w:basedOn w:val="Normal"/>
    <w:link w:val="ListParagraphChar"/>
    <w:uiPriority w:val="99"/>
    <w:qFormat/>
    <w:rsid w:val="00F66648"/>
    <w:pPr>
      <w:ind w:left="720"/>
      <w:contextualSpacing/>
    </w:pPr>
  </w:style>
  <w:style w:type="character" w:customStyle="1" w:styleId="ListParagraphChar">
    <w:name w:val="List Paragraph Char"/>
    <w:aliases w:val="Normal bullet 2 Char,List Paragraph1 Char,Bullet 1 Char,Table of contents numbered Char,A_wyliczenie Char,K-P_odwolanie Char,Akapit z listą5 Char,maz_wyliczenie Char,opis dzialania Char,Akapit z listą BS Char,Outlines a.b.c. Char"/>
    <w:link w:val="ListParagraph"/>
    <w:uiPriority w:val="99"/>
    <w:qFormat/>
    <w:locked/>
    <w:rsid w:val="00F66648"/>
    <w:rPr>
      <w:lang w:val="ro-RO"/>
    </w:rPr>
  </w:style>
  <w:style w:type="paragraph" w:styleId="Header">
    <w:name w:val="header"/>
    <w:basedOn w:val="Normal"/>
    <w:link w:val="HeaderChar"/>
    <w:uiPriority w:val="99"/>
    <w:unhideWhenUsed/>
    <w:rsid w:val="005C6B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6B44"/>
    <w:rPr>
      <w:lang w:val="ro-RO"/>
    </w:rPr>
  </w:style>
  <w:style w:type="paragraph" w:styleId="Footer">
    <w:name w:val="footer"/>
    <w:basedOn w:val="Normal"/>
    <w:link w:val="FooterChar"/>
    <w:uiPriority w:val="99"/>
    <w:unhideWhenUsed/>
    <w:rsid w:val="005C6B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6B44"/>
    <w:rPr>
      <w:lang w:val="ro-RO"/>
    </w:rPr>
  </w:style>
  <w:style w:type="character" w:customStyle="1" w:styleId="normaltextrun">
    <w:name w:val="normaltextrun"/>
    <w:basedOn w:val="DefaultParagraphFont"/>
    <w:rsid w:val="004A6D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517473">
      <w:bodyDiv w:val="1"/>
      <w:marLeft w:val="0"/>
      <w:marRight w:val="0"/>
      <w:marTop w:val="0"/>
      <w:marBottom w:val="0"/>
      <w:divBdr>
        <w:top w:val="none" w:sz="0" w:space="0" w:color="auto"/>
        <w:left w:val="none" w:sz="0" w:space="0" w:color="auto"/>
        <w:bottom w:val="none" w:sz="0" w:space="0" w:color="auto"/>
        <w:right w:val="none" w:sz="0" w:space="0" w:color="auto"/>
      </w:divBdr>
    </w:div>
    <w:div w:id="643236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ee2a0fe-1226-4a34-9e06-7c398078da57" xsi:nil="true"/>
    <lcf76f155ced4ddcb4097134ff3c332f xmlns="1f6e3964-c330-437f-9746-f4e74fd478e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5DF10022B1E084BA25B07402301E731" ma:contentTypeVersion="13" ma:contentTypeDescription="Creați un document nou." ma:contentTypeScope="" ma:versionID="b1f5b04e0beccdf5a8b67d348e199ef8">
  <xsd:schema xmlns:xsd="http://www.w3.org/2001/XMLSchema" xmlns:xs="http://www.w3.org/2001/XMLSchema" xmlns:p="http://schemas.microsoft.com/office/2006/metadata/properties" xmlns:ns2="1f6e3964-c330-437f-9746-f4e74fd478e1" xmlns:ns3="9ee2a0fe-1226-4a34-9e06-7c398078da57" targetNamespace="http://schemas.microsoft.com/office/2006/metadata/properties" ma:root="true" ma:fieldsID="4409b3527901fbfa8f3e45d3a12035b1" ns2:_="" ns3:_="">
    <xsd:import namespace="1f6e3964-c330-437f-9746-f4e74fd478e1"/>
    <xsd:import namespace="9ee2a0fe-1226-4a34-9e06-7c398078da5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6e3964-c330-437f-9746-f4e74fd478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Etichete imagine" ma:readOnly="false" ma:fieldId="{5cf76f15-5ced-4ddc-b409-7134ff3c332f}" ma:taxonomyMulti="true" ma:sspId="b62ed439-0888-4e77-b5dd-592e4d4f85f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e2a0fe-1226-4a34-9e06-7c398078da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eeb27ec-c89f-4d64-ba30-1abc8b8319c4}" ma:internalName="TaxCatchAll" ma:showField="CatchAllData" ma:web="9ee2a0fe-1226-4a34-9e06-7c398078da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E83287-3757-496A-A35D-4250A596F549}">
  <ds:schemaRefs>
    <ds:schemaRef ds:uri="http://schemas.microsoft.com/office/2006/metadata/properties"/>
    <ds:schemaRef ds:uri="http://schemas.microsoft.com/office/infopath/2007/PartnerControls"/>
    <ds:schemaRef ds:uri="9ee2a0fe-1226-4a34-9e06-7c398078da57"/>
    <ds:schemaRef ds:uri="1f6e3964-c330-437f-9746-f4e74fd478e1"/>
  </ds:schemaRefs>
</ds:datastoreItem>
</file>

<file path=customXml/itemProps2.xml><?xml version="1.0" encoding="utf-8"?>
<ds:datastoreItem xmlns:ds="http://schemas.openxmlformats.org/officeDocument/2006/customXml" ds:itemID="{573043EB-222A-4381-A32F-E3D10E356AAD}">
  <ds:schemaRefs>
    <ds:schemaRef ds:uri="http://schemas.microsoft.com/sharepoint/v3/contenttype/forms"/>
  </ds:schemaRefs>
</ds:datastoreItem>
</file>

<file path=customXml/itemProps3.xml><?xml version="1.0" encoding="utf-8"?>
<ds:datastoreItem xmlns:ds="http://schemas.openxmlformats.org/officeDocument/2006/customXml" ds:itemID="{1C98A7F7-C80C-4538-B6E8-90B7826E1A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6e3964-c330-437f-9746-f4e74fd478e1"/>
    <ds:schemaRef ds:uri="9ee2a0fe-1226-4a34-9e06-7c398078da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4</Pages>
  <Words>2103</Words>
  <Characters>11993</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 Stavila</dc:creator>
  <cp:keywords/>
  <dc:description/>
  <cp:lastModifiedBy>Corina Rosu</cp:lastModifiedBy>
  <cp:revision>6</cp:revision>
  <dcterms:created xsi:type="dcterms:W3CDTF">2025-03-24T09:01:00Z</dcterms:created>
  <dcterms:modified xsi:type="dcterms:W3CDTF">2025-03-25T12:44:00Z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0x01010015DF10022B1E084BA25B07402301E731</vt:lpwstr>
  </property>
  <property fmtid="{D5CDD505-2E9C-101B-9397-08002B2CF9AE}" pid="3" name="MediaServiceImageTags">
    <vt:lpwstr/>
  </property>
</Properties>
</file>