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F5BF1"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 xml:space="preserve">Programul Regional Sud-Est 2021-2027 (PRSE) reprezintă un instrument cheie pentru dezvoltarea regiunii, având ca scop principal îmbunătățirea calității vieții și creșterea competitivității economice. Prioritatea 5 – „O regiune educată" se concentrează pe modernizarea infrastructurii educaționale, creșterea accesului la educație de calitate și promovarea incluziunii sociale prin investiții în unități de învățământ preșcolar, primar, secundar, profesional și universitar. </w:t>
      </w:r>
    </w:p>
    <w:p w14:paraId="5F66E7BE"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Evaluarea ce face obiectul prezentului raport are ca scop furnizarea de informații pentru a susține Autoritatea de Management în realizarea evaluării intermediaire (mid-term review) conform art. 18 din Regulamentul Cadru 1060/2021 în vederea îmbunătățirii Programului Regional Sud-Est și a procesului de implementare a acestuia.</w:t>
      </w:r>
    </w:p>
    <w:p w14:paraId="09D550E6"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 xml:space="preserve">Evaluarea intermediară timpurie a fost realizată pentru a analiza relevanța, eficacitatea și eficiența acestei priorități, identificând provocările implementării și propunând soluții pentru îmbunătățirea procesului și a acoperit perioada de implementare a programului, începând cu data aprobării acestuia, 21 octombrie 2022 până la data de 31 decembrie 2024. </w:t>
      </w:r>
    </w:p>
    <w:p w14:paraId="578D381B"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 xml:space="preserve">Metodologia de evaluare, structurată în jurul celor șapte întrebări-cheie din caietul de sarcini, a integrat un mix echilibrat de metode și instrumente de evaluare, precum: analiza documentară, interviuri, sondaje, focus grupuri și ateliere de lucru, studii de caz, consultări cu un panel de experți, precum și metode cantitative pentru analiza progresului în implementare. </w:t>
      </w:r>
    </w:p>
    <w:p w14:paraId="5FAE589F"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Valoarea totală alocată pentru această prioritate este de 45,8 milioane EUR, iar principalele domenii de intervenție includ:</w:t>
      </w:r>
    </w:p>
    <w:p w14:paraId="3E8AAC6B" w14:textId="77777777" w:rsidR="00E11D98" w:rsidRPr="00E11D98" w:rsidRDefault="00E11D98" w:rsidP="00E11D98">
      <w:pPr>
        <w:pStyle w:val="ListParagraph"/>
        <w:numPr>
          <w:ilvl w:val="0"/>
          <w:numId w:val="2"/>
        </w:numPr>
        <w:spacing w:before="120" w:after="120" w:line="240" w:lineRule="auto"/>
        <w:rPr>
          <w:rFonts w:ascii="Calibri" w:hAnsi="Calibri" w:cs="Calibri"/>
          <w:sz w:val="20"/>
          <w:szCs w:val="20"/>
        </w:rPr>
      </w:pPr>
      <w:r w:rsidRPr="00E11D98">
        <w:rPr>
          <w:rFonts w:ascii="Calibri" w:eastAsia="Calibri" w:hAnsi="Calibri" w:cs="Calibri"/>
          <w:sz w:val="20"/>
          <w:szCs w:val="20"/>
        </w:rPr>
        <w:t>Modernizarea și dezvoltarea infrastructurii educaționale la toate nivelurile – preșcolar, primar, secundar, profesional și superior;</w:t>
      </w:r>
    </w:p>
    <w:p w14:paraId="69056AD9" w14:textId="77777777" w:rsidR="00E11D98" w:rsidRPr="00E11D98" w:rsidRDefault="00E11D98" w:rsidP="00E11D98">
      <w:pPr>
        <w:pStyle w:val="ListParagraph"/>
        <w:numPr>
          <w:ilvl w:val="0"/>
          <w:numId w:val="2"/>
        </w:numPr>
        <w:spacing w:before="120" w:after="120" w:line="240" w:lineRule="auto"/>
        <w:rPr>
          <w:rFonts w:ascii="Calibri" w:hAnsi="Calibri" w:cs="Calibri"/>
          <w:sz w:val="20"/>
          <w:szCs w:val="20"/>
        </w:rPr>
      </w:pPr>
      <w:r w:rsidRPr="00E11D98">
        <w:rPr>
          <w:rFonts w:ascii="Calibri" w:eastAsia="Calibri" w:hAnsi="Calibri" w:cs="Calibri"/>
          <w:sz w:val="20"/>
          <w:szCs w:val="20"/>
        </w:rPr>
        <w:t>Dotarea laboratoarelor și atelierelor de practică pentru învățământul profesional și tehnic, inclusiv în sistem dual​.</w:t>
      </w:r>
    </w:p>
    <w:p w14:paraId="0FE0E8D7" w14:textId="77777777" w:rsidR="00E11D98" w:rsidRPr="00E11D98" w:rsidRDefault="00E11D98" w:rsidP="00E11D98">
      <w:pPr>
        <w:pStyle w:val="ListParagraph"/>
        <w:numPr>
          <w:ilvl w:val="0"/>
          <w:numId w:val="2"/>
        </w:numPr>
        <w:spacing w:before="120" w:after="120" w:line="240" w:lineRule="auto"/>
        <w:rPr>
          <w:rFonts w:ascii="Calibri" w:hAnsi="Calibri" w:cs="Calibri"/>
          <w:sz w:val="20"/>
          <w:szCs w:val="20"/>
        </w:rPr>
      </w:pPr>
      <w:r w:rsidRPr="00E11D98">
        <w:rPr>
          <w:rFonts w:ascii="Calibri" w:eastAsia="Calibri" w:hAnsi="Calibri" w:cs="Calibri"/>
          <w:sz w:val="20"/>
          <w:szCs w:val="20"/>
        </w:rPr>
        <w:t xml:space="preserve">Creșterea accesului la educație pentru grupurile vulnerabile prin îmbunătățirea infrastructurii și serviciilor educaționale incluzive. </w:t>
      </w:r>
    </w:p>
    <w:p w14:paraId="42514A0F" w14:textId="77777777" w:rsidR="00E11D98" w:rsidRPr="00E11D98" w:rsidRDefault="00E11D98" w:rsidP="00E11D98">
      <w:pPr>
        <w:spacing w:before="120" w:after="120"/>
        <w:jc w:val="both"/>
        <w:rPr>
          <w:rFonts w:ascii="Calibri" w:eastAsia="Calibri" w:hAnsi="Calibri" w:cs="Calibri"/>
          <w:sz w:val="20"/>
          <w:szCs w:val="20"/>
          <w:lang w:eastAsia="en-US"/>
        </w:rPr>
      </w:pPr>
      <w:r w:rsidRPr="00E11D98">
        <w:rPr>
          <w:rFonts w:ascii="Calibri" w:eastAsia="Calibri" w:hAnsi="Calibri" w:cs="Calibri"/>
          <w:sz w:val="20"/>
          <w:szCs w:val="20"/>
          <w:lang w:eastAsia="en-US"/>
        </w:rPr>
        <w:t>Procesul de evaluare a fost afectat de constrângeri de timp, disponibilitatea redusă a beneficiarilor și incidența redusă a proiectelor noi. Majoritatea proiectelor evaluate sunt fie etapizate din perioada anterioară de programare, fie noi dar aflate în faze incipiente, ceea ce a limitat analiza la țintele asumate, în absența unor rezultate efective generate de lipsa contractelor finalizate.</w:t>
      </w:r>
    </w:p>
    <w:p w14:paraId="43930601"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Programul Regional Sud-Est (PRSE) 2021–2027, alături de celelalte șapte programe regionale, reprezintă o inovație în cadrul Acordului de Parteneriat dintre România și Uniunea Europeană, fiind pentru prima dată gestionate la nivel regional în contextul Politicii de Coeziune. PRSE urmărește stimularea competitivității economice regionale și îmbunătățirea condițiilor de trai în comunitățile locale, prin investiții în dezvoltarea sectorului privat, a infrastructurii și serviciilor, contribuind astfel la reducerea disparităților intraregionale și la promovarea unei dezvoltări durabile.</w:t>
      </w:r>
    </w:p>
    <w:p w14:paraId="7A5A250F"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Intervențiile finanțate în cadrul Priorității 5 au fost concepute pentru a răspunde unor probleme stringente existente la nivelul regiunii Sud-Est, precum reducerea abandonului școlar și a disparităților dintre mediul urban și cel rural, modernizarea și îmbunătățirea infrastructurii educaționale și sprijinirea accesului la educație pentru grupurile vulnerabile.</w:t>
      </w:r>
    </w:p>
    <w:p w14:paraId="6F4CA256" w14:textId="77777777" w:rsidR="00E11D98" w:rsidRPr="00E11D98" w:rsidRDefault="00E11D98" w:rsidP="00E11D98">
      <w:pPr>
        <w:spacing w:before="120" w:after="120" w:line="240" w:lineRule="auto"/>
        <w:rPr>
          <w:rFonts w:ascii="Calibri" w:hAnsi="Calibri" w:cs="Calibri"/>
          <w:b/>
          <w:bCs/>
          <w:sz w:val="20"/>
          <w:szCs w:val="20"/>
        </w:rPr>
      </w:pPr>
      <w:r w:rsidRPr="00E11D98">
        <w:rPr>
          <w:rFonts w:ascii="Calibri" w:hAnsi="Calibri" w:cs="Calibri"/>
          <w:b/>
          <w:bCs/>
          <w:sz w:val="20"/>
          <w:szCs w:val="20"/>
        </w:rPr>
        <w:t>Constatări și concluzii ale evaluării</w:t>
      </w:r>
    </w:p>
    <w:p w14:paraId="69FCC10A"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 xml:space="preserve">Provocările structurale care au fundamentat intervențiile din cadrul Priorității 5, respectiv necesitatea modernizării infrastructurii educaționale și facilitarea accesului la educație de calitate, continuă să fie o prioritate pentru regiunea Sud-Est, din cauza disparităților semnificative între județe și nivelurile de învățământ. Învățământul preșcolar se confruntă deficit de infrastructură, afectând copiii din mediile vulnerabile. Școlile primare și secundare necesită modernizare, iar învățământul profesional și tehnic este limitat de lipsa dotărilor adecvate. Învățământul universitar dispune de infrastructură insuficientă pentru cercetare, determinând migrarea tinerilor către alte centre. </w:t>
      </w:r>
    </w:p>
    <w:p w14:paraId="208689F5"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 xml:space="preserve">De asemenea, oferta limitată de tabere școlare și centre de agrement reduce oportunitățile de implicare a elevilor în activități extrașcolare. Nivelul de performanță educațională se menține sub media Uniunii Europene, aspect </w:t>
      </w:r>
      <w:r w:rsidRPr="00E11D98">
        <w:rPr>
          <w:rFonts w:ascii="Calibri" w:eastAsia="Calibri" w:hAnsi="Calibri" w:cs="Calibri"/>
          <w:sz w:val="20"/>
          <w:szCs w:val="20"/>
          <w:lang w:eastAsia="en-US"/>
        </w:rPr>
        <w:lastRenderedPageBreak/>
        <w:t>evidențiat prin scorurile modeste obținute la testările PISA, rata crescută a abandonului școlar timpuriu și o participare scăzută la învățământul terțiar, situată la 22,5% în anul 2023. Persistența acestor deficiențe evidențiază nevoia unor investiții susținute pentru îmbunătățirea accesului la educație și a calității acesteia.</w:t>
      </w:r>
    </w:p>
    <w:p w14:paraId="64673001"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 xml:space="preserve">Intervențiile Priorității 5 sunt aliniate cu Recomandările Specifice de Țară formulate în perioada 2019-2024 care rămân relevante în continuare, întrucât progresul în implementarea lor nu este complet, conform Raportului de țară din 2024. P5 contribuie la RSȚ3 20219 și RSȚ2 2020 în ceea ce privește investițiile în infrastructura educațională (OS 4.2, OS 4.6). Gradul de contractare indică un progres moderat, iar măsurile pentru grupurile defavorizate și cele de tip FSE+ trebuie susținute în continuare, întrucât constatările RSȚ din mai 2024 relevă un nivel redus de implementare a recomandărilor în domeniul educației, subliniind necesitatea intensificării eforturilor pentru atingerea țintelor asumate. </w:t>
      </w:r>
    </w:p>
    <w:p w14:paraId="65A97273"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Prioritatea 5 contribuie în mod indirect la realizarea obiectivelor asumate prin Planului Național Integrat în domeniul Energiei și Schimbărilor Climatice (PNIESC), prin intermediul intervențiilor care vizează reabilitarea energetică a infrastructurii educaționale, deși acest aspect nu constituie obiectivul principal al acțiunilor. Astfel, Acțiunile 5.2 și 5.3 sprijină modernizarea infrastructurii pentru învățământul primar, secundar, profesional și tehnic, incluzând componente de consolidare și eficiență energetică. Aceste intervenții susțin, de asemenea, obiectivele de mediu, în special măsura P&amp;M 36 privind îmbunătățirea performanței energetice a clădirilor publice la nivel local. Prin specificul lor – modernizare, extindere sau reabilitare – proiectele includ și măsuri care reflectă aplicarea principiilor orizontale de durabilitate, având potențialul de a contribui în ansamblu la atingerea obiectivelor de mediu.</w:t>
      </w:r>
    </w:p>
    <w:p w14:paraId="309888AF"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 xml:space="preserve">În ceea ce privește contribuția intervențiilor din cadrul P5 la Pilonul European al Drepturilor Sociale (PEDS), programul susține, prin obiectivele specifice OS4.2 și OS4.6, îmbunătățirea accesului la servicii educaționale de calitate și învățare pe tot parcursul vieții, prin infrastructură modernă și accesibilă, inclusiv pentru educația la distanță. Contribuția PRSE la Pilonul European al Drepturilor Sociale este susținută atât prin investiții directe, cât și prin integrarea principiilor orizontale privind egalitatea de șanse, nediscriminarea, accesibilitatea și condițiile de muncă echitabile. Deși nu sunt prevăzute alocări financiare dedicate pentru aceste principii, ele sunt implementate transversal, prin criterii și condiții aplicabile tuturor proiectelor finanțate. Evaluarea evidențiază necesitatea unui sprijin tehnic sporit și a unei mai bune conștientizări pentru aplicarea eficientă a măsurilor ce vizează incluziunea socială și accesul echitabil la educație, în condițiile unei implementări fragmentate, limitate de resurse insuficiente. </w:t>
      </w:r>
    </w:p>
    <w:p w14:paraId="66C0726B"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În ceea ce privește progresul implementării, analiza arată că, deși există un interes crescut pentru finanțare, ritmul implementării proiectelor este lent. Până la sfârșitul anului 2024, doar 36% din alocarea totală pentru Prioritatea 5 fusese contractată. Principalele bariere identificate includ întârzieri în procesul de contractare și avizare, dificultăți administrative în obținerea autorizațiilor, lipsa resurselor financiare pentru acoperirea costurilor neeligibile și fluctuațiile economice care au dus la creșterea prețurilor materialelor de construcție. De asemenea, capacitatea administrativă a beneficiarilor este redusă, ceea ce afectează capacitatea acestora de a gestiona proiectele într-un mod eficient.</w:t>
      </w:r>
    </w:p>
    <w:p w14:paraId="7FF272B2"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Pe lângă aceste probleme, mecanismul ITI Delta Dunării întâmpină dificultăți suplimentare în atragerea și implementarea proiectelor. Deși există cerere de finanțare, întârzierile în lansarea apelurilor și problemele administrative afectează progresul proiectelor din acest teritoriu. Referitor la OS4.6, nu au fost identificate nevoi de finanțare a taberelor școlare la nivelul ITI Delta Dunării, sumele alocate inițial fiind transferate în cadrul modificării de program din anul 2024 către acțiunile care vizează eficiența energetică a cladirilor din arealul ITI DD.</w:t>
      </w:r>
    </w:p>
    <w:p w14:paraId="13271239"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Pentru Prioritatea 5 nu au fost asumate obiective de etapă însă progresele în implementare sunt importante în ceea ce privește OS4.2. Operațiunile selectate indică un grad de asumare față de ținta finală de peste 74% pentru capacitatea sălilor de clasă noi sau modernizate dedicate îngrijirii copiilor și de 83% pentru capacitatea sălilor de clasă din structurile educaționale noi sau modernizate. În schimb, pentru OS4.6 nu s-au înregistrat progrese având în vedere faptul că apelurile aferente acestui OS nu au fost încă lansate.</w:t>
      </w:r>
    </w:p>
    <w:p w14:paraId="5CF2DC69" w14:textId="77777777" w:rsidR="00E11D98" w:rsidRPr="00E11D98" w:rsidRDefault="00E11D98" w:rsidP="00E11D98">
      <w:pPr>
        <w:suppressAutoHyphens/>
        <w:spacing w:before="120" w:after="120" w:line="240" w:lineRule="auto"/>
        <w:jc w:val="both"/>
        <w:rPr>
          <w:rFonts w:ascii="Calibri" w:eastAsia="Calibri" w:hAnsi="Calibri" w:cs="Calibri"/>
          <w:sz w:val="20"/>
          <w:szCs w:val="20"/>
          <w:lang w:eastAsia="en-US"/>
        </w:rPr>
      </w:pPr>
      <w:r w:rsidRPr="00E11D98">
        <w:rPr>
          <w:rFonts w:ascii="Calibri" w:eastAsia="Calibri" w:hAnsi="Calibri" w:cs="Calibri"/>
          <w:sz w:val="20"/>
          <w:szCs w:val="20"/>
          <w:lang w:eastAsia="en-US"/>
        </w:rPr>
        <w:t xml:space="preserve">În concluzie, Prioritatea 5 este bine fundamentată și răspunde unor nevoi reale din regiunea Sud-Est, iar intervențiile râmân în continuare  relevante față de nevoile socio-economice, fiind coerente cu direcțiile europene de dezvoltare în ceea ce privește îmbunătățirea infrastructurii educaționale și accesul la o educație de calitate. Cu toate acestea, implementarea sa este afectată de probleme administrative, financiare și de capacitate. Ritmul lent al contractării și </w:t>
      </w:r>
      <w:r w:rsidRPr="00E11D98">
        <w:rPr>
          <w:rFonts w:ascii="Calibri" w:eastAsia="Calibri" w:hAnsi="Calibri" w:cs="Calibri"/>
          <w:sz w:val="20"/>
          <w:szCs w:val="20"/>
          <w:lang w:eastAsia="en-US"/>
        </w:rPr>
        <w:lastRenderedPageBreak/>
        <w:t>execuției lucrărilor evidențiază necesitatea intensificării eforturilor pentru a asigura atingerea obiectivelor asumate până la finalul perioadei de programare.</w:t>
      </w:r>
    </w:p>
    <w:p w14:paraId="6BFEA1D3" w14:textId="77777777" w:rsidR="00E11D98" w:rsidRPr="00E11D98" w:rsidRDefault="00E11D98" w:rsidP="00E11D98">
      <w:pPr>
        <w:suppressAutoHyphens/>
        <w:spacing w:before="120" w:after="120" w:line="240" w:lineRule="auto"/>
        <w:jc w:val="both"/>
        <w:rPr>
          <w:rFonts w:ascii="Calibri" w:hAnsi="Calibri" w:cs="Calibri"/>
          <w:sz w:val="20"/>
          <w:szCs w:val="20"/>
        </w:rPr>
      </w:pPr>
      <w:r w:rsidRPr="00E11D98">
        <w:rPr>
          <w:rFonts w:ascii="Calibri" w:eastAsia="Calibri" w:hAnsi="Calibri" w:cs="Calibri"/>
          <w:sz w:val="20"/>
          <w:szCs w:val="20"/>
        </w:rPr>
        <w:t>Pentru îmbunătățirea implementării programului, se recomandă:</w:t>
      </w:r>
    </w:p>
    <w:p w14:paraId="22931B42" w14:textId="77777777" w:rsidR="00E11D98" w:rsidRPr="00E11D98" w:rsidRDefault="00E11D98" w:rsidP="00E11D98">
      <w:pPr>
        <w:pStyle w:val="ListParagraph"/>
        <w:spacing w:line="240" w:lineRule="auto"/>
        <w:rPr>
          <w:rFonts w:ascii="Calibri" w:hAnsi="Calibri" w:cs="Calibri"/>
          <w:sz w:val="20"/>
          <w:szCs w:val="20"/>
        </w:rPr>
      </w:pPr>
    </w:p>
    <w:p w14:paraId="00897358" w14:textId="77777777" w:rsidR="00E11D98" w:rsidRPr="00E11D98" w:rsidRDefault="00E11D98" w:rsidP="00E11D98">
      <w:pPr>
        <w:pStyle w:val="ListParagraph"/>
        <w:numPr>
          <w:ilvl w:val="1"/>
          <w:numId w:val="1"/>
        </w:numPr>
        <w:suppressAutoHyphens/>
        <w:spacing w:before="120" w:after="120" w:line="240" w:lineRule="auto"/>
        <w:jc w:val="both"/>
        <w:rPr>
          <w:rFonts w:ascii="Calibri" w:hAnsi="Calibri" w:cs="Calibri"/>
          <w:sz w:val="20"/>
          <w:szCs w:val="20"/>
        </w:rPr>
      </w:pPr>
      <w:r w:rsidRPr="00E11D98">
        <w:rPr>
          <w:rFonts w:ascii="Calibri" w:hAnsi="Calibri" w:cs="Calibri"/>
          <w:sz w:val="20"/>
          <w:szCs w:val="20"/>
        </w:rPr>
        <w:t>Accelerarea lansării apelurilor de proiecte, precum și a proceselor de evaluare, selecție și contractare, cu respectarea calendarului prevăzut pentru anul 2025.</w:t>
      </w:r>
    </w:p>
    <w:p w14:paraId="341AAB92" w14:textId="77777777" w:rsidR="00E11D98" w:rsidRPr="00E11D98" w:rsidRDefault="00E11D98" w:rsidP="00E11D98">
      <w:pPr>
        <w:pStyle w:val="ListParagraph"/>
        <w:numPr>
          <w:ilvl w:val="1"/>
          <w:numId w:val="1"/>
        </w:numPr>
        <w:suppressAutoHyphens/>
        <w:spacing w:before="120" w:after="120" w:line="240" w:lineRule="auto"/>
        <w:jc w:val="both"/>
        <w:rPr>
          <w:rFonts w:ascii="Calibri" w:hAnsi="Calibri" w:cs="Calibri"/>
          <w:sz w:val="20"/>
          <w:szCs w:val="20"/>
        </w:rPr>
      </w:pPr>
      <w:r w:rsidRPr="00E11D98">
        <w:rPr>
          <w:rFonts w:ascii="Calibri" w:hAnsi="Calibri" w:cs="Calibri"/>
          <w:sz w:val="20"/>
          <w:szCs w:val="20"/>
        </w:rPr>
        <w:t>Consolidarea capacității administrative a solicitanților și beneficiarilor, în special din orașele mici, pentru pregătirea și implementarea eficientă a proiectelor.</w:t>
      </w:r>
    </w:p>
    <w:p w14:paraId="7E34C725" w14:textId="77777777" w:rsidR="00E11D98" w:rsidRPr="00E11D98" w:rsidRDefault="00E11D98" w:rsidP="00E11D98">
      <w:pPr>
        <w:pStyle w:val="ListParagraph"/>
        <w:numPr>
          <w:ilvl w:val="1"/>
          <w:numId w:val="1"/>
        </w:numPr>
        <w:suppressAutoHyphens/>
        <w:spacing w:before="120" w:after="120" w:line="240" w:lineRule="auto"/>
        <w:jc w:val="both"/>
        <w:rPr>
          <w:rFonts w:ascii="Calibri" w:hAnsi="Calibri" w:cs="Calibri"/>
          <w:sz w:val="20"/>
          <w:szCs w:val="20"/>
        </w:rPr>
      </w:pPr>
      <w:r w:rsidRPr="00E11D98">
        <w:rPr>
          <w:rFonts w:ascii="Calibri" w:hAnsi="Calibri" w:cs="Calibri"/>
          <w:sz w:val="20"/>
          <w:szCs w:val="20"/>
        </w:rPr>
        <w:t>Susținerea măsurilor pentru educația incluzivă, în conformitate cu recomandările europene, prin continuarea investițiilor în infrastructura educațională pentru grupuri defavorizate și prin aplicarea efectivă a prevederilor privind finanțarea încrucișată, inclusiv prin informarea activă a potențialilor beneficiari.</w:t>
      </w:r>
    </w:p>
    <w:p w14:paraId="49C8CA3E" w14:textId="77777777" w:rsidR="00E11D98" w:rsidRPr="00E11D98" w:rsidRDefault="00E11D98" w:rsidP="00E11D98">
      <w:pPr>
        <w:pStyle w:val="ListParagraph"/>
        <w:numPr>
          <w:ilvl w:val="1"/>
          <w:numId w:val="1"/>
        </w:numPr>
        <w:suppressAutoHyphens/>
        <w:spacing w:before="120" w:after="120" w:line="240" w:lineRule="auto"/>
        <w:jc w:val="both"/>
        <w:rPr>
          <w:rFonts w:ascii="Calibri" w:hAnsi="Calibri" w:cs="Calibri"/>
          <w:sz w:val="20"/>
          <w:szCs w:val="20"/>
        </w:rPr>
      </w:pPr>
      <w:r w:rsidRPr="00E11D98">
        <w:rPr>
          <w:rFonts w:ascii="Calibri" w:hAnsi="Calibri" w:cs="Calibri"/>
          <w:sz w:val="20"/>
          <w:szCs w:val="20"/>
        </w:rPr>
        <w:t>Orientarea sprijinului către aspecte esențiale ale implementării, care asigură calitatea rezultatelor și sustenabilitatea intervențiilor, inclusiv operaționalizarea infrastructurii, corelarea cu alte surse de finanțare și adresarea nevoilor grupurilor vulnerabile, cu accent pe UAT-urile din mediul urban mic.</w:t>
      </w:r>
    </w:p>
    <w:p w14:paraId="2C078E63" w14:textId="77777777" w:rsidR="002E7771" w:rsidRDefault="002E7771"/>
    <w:sectPr w:rsidR="002E777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F4286" w14:textId="77777777" w:rsidR="000E19F1" w:rsidRDefault="000E19F1" w:rsidP="000E19F1">
      <w:pPr>
        <w:spacing w:after="0" w:line="240" w:lineRule="auto"/>
      </w:pPr>
      <w:r>
        <w:separator/>
      </w:r>
    </w:p>
  </w:endnote>
  <w:endnote w:type="continuationSeparator" w:id="0">
    <w:p w14:paraId="2D350B09" w14:textId="77777777" w:rsidR="000E19F1" w:rsidRDefault="000E19F1" w:rsidP="000E19F1">
      <w:pPr>
        <w:spacing w:after="0" w:line="240" w:lineRule="auto"/>
      </w:pPr>
      <w:r>
        <w:continuationSeparator/>
      </w:r>
    </w:p>
  </w:endnote>
  <w:endnote w:type="continuationNotice" w:id="1">
    <w:p w14:paraId="48DD85E7" w14:textId="77777777" w:rsidR="000C69B9" w:rsidRDefault="000C69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B9EDB" w14:textId="7AC51C6C" w:rsidR="000E19F1" w:rsidRDefault="00D64213" w:rsidP="00E6153E">
    <w:pPr>
      <w:pStyle w:val="Footer"/>
      <w:jc w:val="center"/>
    </w:pPr>
    <w:r w:rsidRPr="003A668F">
      <w:rPr>
        <w:rFonts w:ascii="Calibri" w:hAnsi="Calibri" w:cs="Calibri"/>
        <w:b/>
        <w:bCs/>
        <w:noProof/>
        <w:color w:val="213F99"/>
        <w:sz w:val="20"/>
        <w:szCs w:val="20"/>
      </w:rPr>
      <w:drawing>
        <wp:anchor distT="0" distB="0" distL="114300" distR="114300" simplePos="0" relativeHeight="251658241" behindDoc="0" locked="0" layoutInCell="1" allowOverlap="1" wp14:anchorId="4CFEA819" wp14:editId="76E05657">
          <wp:simplePos x="0" y="0"/>
          <wp:positionH relativeFrom="page">
            <wp:align>right</wp:align>
          </wp:positionH>
          <wp:positionV relativeFrom="paragraph">
            <wp:posOffset>-180975</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r w:rsidRPr="00D64213">
      <w:rPr>
        <w:noProof/>
      </w:rPr>
      <w:drawing>
        <wp:inline distT="0" distB="0" distL="0" distR="0" wp14:anchorId="5E4B37F1" wp14:editId="2B078B15">
          <wp:extent cx="5943600" cy="281940"/>
          <wp:effectExtent l="0" t="0" r="0" b="0"/>
          <wp:docPr id="9155565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BDFBF" w14:textId="77777777" w:rsidR="000E19F1" w:rsidRDefault="000E19F1" w:rsidP="000E19F1">
      <w:pPr>
        <w:spacing w:after="0" w:line="240" w:lineRule="auto"/>
      </w:pPr>
      <w:r>
        <w:separator/>
      </w:r>
    </w:p>
  </w:footnote>
  <w:footnote w:type="continuationSeparator" w:id="0">
    <w:p w14:paraId="2414C9E3" w14:textId="77777777" w:rsidR="000E19F1" w:rsidRDefault="000E19F1" w:rsidP="000E19F1">
      <w:pPr>
        <w:spacing w:after="0" w:line="240" w:lineRule="auto"/>
      </w:pPr>
      <w:r>
        <w:continuationSeparator/>
      </w:r>
    </w:p>
  </w:footnote>
  <w:footnote w:type="continuationNotice" w:id="1">
    <w:p w14:paraId="1B4DD1BF" w14:textId="77777777" w:rsidR="000C69B9" w:rsidRDefault="000C69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62E56" w14:textId="77777777" w:rsidR="00194248" w:rsidRDefault="00194248" w:rsidP="00194248">
    <w:pPr>
      <w:pStyle w:val="Header"/>
      <w:tabs>
        <w:tab w:val="left" w:pos="4002"/>
        <w:tab w:val="left" w:pos="4601"/>
      </w:tabs>
    </w:pPr>
    <w:r w:rsidRPr="00024668">
      <w:rPr>
        <w:noProof/>
      </w:rPr>
      <w:drawing>
        <wp:anchor distT="0" distB="0" distL="114300" distR="114300" simplePos="0" relativeHeight="251660289" behindDoc="1" locked="0" layoutInCell="1" allowOverlap="1" wp14:anchorId="706C39E9" wp14:editId="02F680FB">
          <wp:simplePos x="0" y="0"/>
          <wp:positionH relativeFrom="column">
            <wp:posOffset>-447675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rsidRPr="00024668">
      <w:rPr>
        <w:rFonts w:eastAsia="MS Mincho" w:cs="Arial"/>
        <w:b/>
        <w:noProof/>
        <w:color w:val="232323"/>
      </w:rPr>
      <w:drawing>
        <wp:anchor distT="0" distB="0" distL="0" distR="0" simplePos="0" relativeHeight="251661313" behindDoc="1" locked="0" layoutInCell="1" allowOverlap="1" wp14:anchorId="45BECEDC" wp14:editId="4412B82C">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2"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2337" behindDoc="1" locked="0" layoutInCell="1" allowOverlap="1" wp14:anchorId="1D305032" wp14:editId="61814A54">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tab/>
    </w:r>
    <w:r>
      <w:tab/>
    </w:r>
  </w:p>
  <w:p w14:paraId="20D7EA4F" w14:textId="323BA7FD" w:rsidR="000E19F1" w:rsidRDefault="000E19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A073E"/>
    <w:multiLevelType w:val="multilevel"/>
    <w:tmpl w:val="9236A6DE"/>
    <w:lvl w:ilvl="0">
      <w:start w:val="1"/>
      <w:numFmt w:val="decimal"/>
      <w:lvlText w:val="%1."/>
      <w:lvlJc w:val="left"/>
      <w:rPr>
        <w:rFonts w:ascii="Calibri" w:hAnsi="Calibri" w:cs="Calibri" w:hint="default"/>
        <w:b/>
        <w:bCs/>
        <w:i w:val="0"/>
        <w:iCs w:val="0"/>
        <w:caps w:val="0"/>
        <w:smallCaps w:val="0"/>
        <w:strike w:val="0"/>
        <w:dstrike w:val="0"/>
        <w:noProof w:val="0"/>
        <w:vanish w:val="0"/>
        <w:color w:val="156082" w:themeColor="accent1"/>
        <w:spacing w:val="0"/>
        <w:kern w:val="0"/>
        <w:position w:val="0"/>
        <w:sz w:val="20"/>
        <w:szCs w:val="20"/>
        <w:u w:val="none"/>
        <w:effect w:val="none"/>
        <w:vertAlign w:val="baseline"/>
        <w:em w:val="none"/>
        <w:specVanish w:val="0"/>
      </w:rPr>
    </w:lvl>
    <w:lvl w:ilvl="1">
      <w:start w:val="1"/>
      <w:numFmt w:val="bullet"/>
      <w:lvlText w:val="o"/>
      <w:lvlJc w:val="left"/>
      <w:pPr>
        <w:ind w:left="1077" w:hanging="360"/>
      </w:pPr>
      <w:rPr>
        <w:rFonts w:ascii="Courier New" w:hAnsi="Courier New" w:hint="default"/>
        <w:b w:val="0"/>
        <w:color w:val="00B050"/>
        <w:sz w:val="20"/>
        <w:szCs w:val="20"/>
      </w:rPr>
    </w:lvl>
    <w:lvl w:ilvl="2">
      <w:start w:val="1"/>
      <w:numFmt w:val="decimal"/>
      <w:lvlText w:val="%1.%2.%3."/>
      <w:lvlJc w:val="left"/>
      <w:pPr>
        <w:ind w:left="2154" w:hanging="720"/>
      </w:pPr>
    </w:lvl>
    <w:lvl w:ilvl="3">
      <w:start w:val="1"/>
      <w:numFmt w:val="decimal"/>
      <w:lvlText w:val="%1.%2.%3.%4."/>
      <w:lvlJc w:val="left"/>
      <w:pPr>
        <w:ind w:left="2871" w:hanging="720"/>
      </w:pPr>
    </w:lvl>
    <w:lvl w:ilvl="4">
      <w:start w:val="1"/>
      <w:numFmt w:val="decimal"/>
      <w:lvlText w:val="%1.%2.%3.%4.%5."/>
      <w:lvlJc w:val="left"/>
      <w:pPr>
        <w:ind w:left="3948" w:hanging="1080"/>
      </w:pPr>
    </w:lvl>
    <w:lvl w:ilvl="5">
      <w:start w:val="1"/>
      <w:numFmt w:val="decimal"/>
      <w:lvlText w:val="%1.%2.%3.%4.%5.%6."/>
      <w:lvlJc w:val="left"/>
      <w:pPr>
        <w:ind w:left="4665" w:hanging="1080"/>
      </w:pPr>
    </w:lvl>
    <w:lvl w:ilvl="6">
      <w:start w:val="1"/>
      <w:numFmt w:val="decimal"/>
      <w:lvlText w:val="%1.%2.%3.%4.%5.%6.%7."/>
      <w:lvlJc w:val="left"/>
      <w:pPr>
        <w:ind w:left="5742" w:hanging="1440"/>
      </w:pPr>
    </w:lvl>
    <w:lvl w:ilvl="7">
      <w:start w:val="1"/>
      <w:numFmt w:val="decimal"/>
      <w:lvlText w:val="%1.%2.%3.%4.%5.%6.%7.%8."/>
      <w:lvlJc w:val="left"/>
      <w:pPr>
        <w:ind w:left="6459" w:hanging="1440"/>
      </w:pPr>
    </w:lvl>
    <w:lvl w:ilvl="8">
      <w:start w:val="1"/>
      <w:numFmt w:val="decimal"/>
      <w:lvlText w:val="%1.%2.%3.%4.%5.%6.%7.%8.%9."/>
      <w:lvlJc w:val="left"/>
      <w:pPr>
        <w:ind w:left="7536" w:hanging="1800"/>
      </w:pPr>
    </w:lvl>
  </w:abstractNum>
  <w:abstractNum w:abstractNumId="1" w15:restartNumberingAfterBreak="0">
    <w:nsid w:val="1CEB1759"/>
    <w:multiLevelType w:val="hybridMultilevel"/>
    <w:tmpl w:val="7B68B7F6"/>
    <w:lvl w:ilvl="0" w:tplc="5F3C1728">
      <w:start w:val="1"/>
      <w:numFmt w:val="bullet"/>
      <w:lvlText w:val="o"/>
      <w:lvlJc w:val="left"/>
      <w:pPr>
        <w:ind w:left="720" w:hanging="360"/>
      </w:pPr>
      <w:rPr>
        <w:rFonts w:ascii="Courier New" w:hAnsi="Courier New" w:hint="default"/>
        <w:b w:val="0"/>
        <w:color w:val="00B05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4801720">
    <w:abstractNumId w:val="0"/>
  </w:num>
  <w:num w:numId="2" w16cid:durableId="20516837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C61DBA"/>
    <w:rsid w:val="000C69B9"/>
    <w:rsid w:val="000E19F1"/>
    <w:rsid w:val="00194248"/>
    <w:rsid w:val="00291517"/>
    <w:rsid w:val="002E7771"/>
    <w:rsid w:val="00844132"/>
    <w:rsid w:val="00920F10"/>
    <w:rsid w:val="00AC3661"/>
    <w:rsid w:val="00D64213"/>
    <w:rsid w:val="00E11D98"/>
    <w:rsid w:val="00E6153E"/>
    <w:rsid w:val="00F11B2E"/>
    <w:rsid w:val="00FC06AC"/>
    <w:rsid w:val="6FC61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37073"/>
  <w15:chartTrackingRefBased/>
  <w15:docId w15:val="{66350794-DA71-4555-97DF-4F804DAAF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34"/>
    <w:qFormat/>
    <w:rsid w:val="00E11D98"/>
    <w:pPr>
      <w:ind w:left="720"/>
      <w:contextualSpacing/>
    </w:p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34"/>
    <w:qFormat/>
    <w:locked/>
    <w:rsid w:val="00E11D98"/>
    <w:rPr>
      <w:lang w:val="ro-RO"/>
    </w:rPr>
  </w:style>
  <w:style w:type="paragraph" w:styleId="Header">
    <w:name w:val="header"/>
    <w:basedOn w:val="Normal"/>
    <w:link w:val="HeaderChar"/>
    <w:uiPriority w:val="99"/>
    <w:unhideWhenUsed/>
    <w:rsid w:val="000E19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9F1"/>
    <w:rPr>
      <w:lang w:val="ro-RO"/>
    </w:rPr>
  </w:style>
  <w:style w:type="paragraph" w:styleId="Footer">
    <w:name w:val="footer"/>
    <w:basedOn w:val="Normal"/>
    <w:link w:val="FooterChar"/>
    <w:uiPriority w:val="99"/>
    <w:unhideWhenUsed/>
    <w:rsid w:val="000E19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9F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B98635-BFFC-4046-96F6-3A28022AC4CE}">
  <ds:schemaRefs>
    <ds:schemaRef ds:uri="http://schemas.openxmlformats.org/package/2006/metadata/core-properties"/>
    <ds:schemaRef ds:uri="http://schemas.microsoft.com/office/infopath/2007/PartnerControls"/>
    <ds:schemaRef ds:uri="http://schemas.microsoft.com/office/2006/documentManagement/types"/>
    <ds:schemaRef ds:uri="9ee2a0fe-1226-4a34-9e06-7c398078da57"/>
    <ds:schemaRef ds:uri="http://purl.org/dc/dcmitype/"/>
    <ds:schemaRef ds:uri="http://purl.org/dc/terms/"/>
    <ds:schemaRef ds:uri="1f6e3964-c330-437f-9746-f4e74fd478e1"/>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F0DB65FB-8367-40C3-BEAD-621939F02AD2}">
  <ds:schemaRefs>
    <ds:schemaRef ds:uri="http://schemas.microsoft.com/sharepoint/v3/contenttype/forms"/>
  </ds:schemaRefs>
</ds:datastoreItem>
</file>

<file path=customXml/itemProps3.xml><?xml version="1.0" encoding="utf-8"?>
<ds:datastoreItem xmlns:ds="http://schemas.openxmlformats.org/officeDocument/2006/customXml" ds:itemID="{E9CB0FBB-19AC-4009-BAAC-B86FC88D0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1621</Words>
  <Characters>9245</Characters>
  <Application>Microsoft Office Word</Application>
  <DocSecurity>0</DocSecurity>
  <Lines>77</Lines>
  <Paragraphs>21</Paragraphs>
  <ScaleCrop>false</ScaleCrop>
  <Company/>
  <LinksUpToDate>false</LinksUpToDate>
  <CharactersWithSpaces>10845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Stavila</dc:creator>
  <cp:keywords/>
  <dc:description/>
  <cp:lastModifiedBy>Roberta Vancea</cp:lastModifiedBy>
  <cp:revision>9</cp:revision>
  <dcterms:created xsi:type="dcterms:W3CDTF">2025-03-24T09:05:00Z</dcterms:created>
  <dcterms:modified xsi:type="dcterms:W3CDTF">2025-03-25T10:43:00Z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