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B21E4" w14:textId="77777777" w:rsidR="007E339C" w:rsidRPr="006E7D2A" w:rsidRDefault="007E339C" w:rsidP="00E55840">
      <w:pPr>
        <w:spacing w:line="240" w:lineRule="auto"/>
        <w:jc w:val="both"/>
        <w:rPr>
          <w:rFonts w:ascii="Calibri" w:hAnsi="Calibri" w:cs="Calibri"/>
          <w:b/>
          <w:bCs/>
          <w:sz w:val="20"/>
          <w:szCs w:val="20"/>
        </w:rPr>
      </w:pPr>
    </w:p>
    <w:p w14:paraId="27982669" w14:textId="3BFFFF45" w:rsidR="00BA0BEC" w:rsidRPr="006E7D2A" w:rsidRDefault="00BA0BEC" w:rsidP="007E339C">
      <w:pPr>
        <w:pStyle w:val="Heading2"/>
        <w:rPr>
          <w:rFonts w:ascii="Calibri" w:hAnsi="Calibri" w:cs="Calibri"/>
          <w:b/>
          <w:bCs/>
          <w:color w:val="213F99"/>
          <w:sz w:val="28"/>
          <w:szCs w:val="28"/>
        </w:rPr>
      </w:pPr>
      <w:r w:rsidRPr="006E7D2A">
        <w:rPr>
          <w:rFonts w:ascii="Calibri" w:hAnsi="Calibri" w:cs="Calibri"/>
          <w:b/>
          <w:bCs/>
          <w:color w:val="213F99"/>
          <w:sz w:val="28"/>
          <w:szCs w:val="28"/>
        </w:rPr>
        <w:t xml:space="preserve">Sumar Executiv </w:t>
      </w:r>
    </w:p>
    <w:p w14:paraId="130640EC" w14:textId="0ACF8AF2" w:rsidR="00BA0BEC" w:rsidRPr="006E7D2A" w:rsidRDefault="00BA0BEC" w:rsidP="00E55840">
      <w:pPr>
        <w:spacing w:line="240" w:lineRule="auto"/>
        <w:jc w:val="both"/>
        <w:rPr>
          <w:rFonts w:ascii="Calibri" w:hAnsi="Calibri" w:cs="Calibri"/>
          <w:sz w:val="20"/>
          <w:szCs w:val="20"/>
        </w:rPr>
      </w:pPr>
      <w:r w:rsidRPr="006E7D2A">
        <w:rPr>
          <w:rFonts w:ascii="Calibri" w:hAnsi="Calibri" w:cs="Calibri"/>
          <w:sz w:val="20"/>
          <w:szCs w:val="20"/>
        </w:rPr>
        <w:t>Adoptarea abordării Investiții Teritoriale Integrate (ITI) în Delta Dunării a fost motivată de particularitățile unice ale regiunii, atât din punct de vedere ecologic</w:t>
      </w:r>
      <w:r w:rsidR="00244C5C" w:rsidRPr="006E7D2A">
        <w:rPr>
          <w:rFonts w:ascii="Calibri" w:hAnsi="Calibri" w:cs="Calibri"/>
          <w:sz w:val="20"/>
          <w:szCs w:val="20"/>
        </w:rPr>
        <w:t>,</w:t>
      </w:r>
      <w:r w:rsidRPr="006E7D2A">
        <w:rPr>
          <w:rFonts w:ascii="Calibri" w:hAnsi="Calibri" w:cs="Calibri"/>
          <w:sz w:val="20"/>
          <w:szCs w:val="20"/>
        </w:rPr>
        <w:t xml:space="preserve"> cât și socio-economic.Mecanismul ITI a fost ales pentru a aborda aceste provocări într-un mod integrat.</w:t>
      </w:r>
    </w:p>
    <w:p w14:paraId="71F548BE" w14:textId="77777777" w:rsidR="00BA0BEC" w:rsidRPr="006E7D2A" w:rsidRDefault="00BA0BEC" w:rsidP="00E55840">
      <w:pPr>
        <w:spacing w:line="240" w:lineRule="auto"/>
        <w:jc w:val="both"/>
        <w:rPr>
          <w:rFonts w:ascii="Calibri" w:hAnsi="Calibri" w:cs="Calibri"/>
          <w:sz w:val="20"/>
          <w:szCs w:val="20"/>
        </w:rPr>
      </w:pPr>
      <w:r w:rsidRPr="006E7D2A">
        <w:rPr>
          <w:rFonts w:ascii="Calibri" w:hAnsi="Calibri" w:cs="Calibri"/>
          <w:sz w:val="20"/>
          <w:szCs w:val="20"/>
        </w:rPr>
        <w:t>Mecanismul ITI DD este structurat pe 15 acțiuni corespunzătoare celor șase priorități de dezvoltare și răspunde unui set de provocări critice identificate la nivelul ITI.</w:t>
      </w:r>
    </w:p>
    <w:p w14:paraId="69F484E7" w14:textId="77777777" w:rsidR="00BA0BEC" w:rsidRPr="006E7D2A" w:rsidRDefault="00BA0BEC" w:rsidP="00E55840">
      <w:pPr>
        <w:spacing w:line="240" w:lineRule="auto"/>
        <w:jc w:val="both"/>
        <w:rPr>
          <w:rFonts w:ascii="Calibri" w:hAnsi="Calibri" w:cs="Calibri"/>
          <w:sz w:val="20"/>
          <w:szCs w:val="20"/>
        </w:rPr>
      </w:pPr>
      <w:r w:rsidRPr="006E7D2A">
        <w:rPr>
          <w:rFonts w:ascii="Calibri" w:hAnsi="Calibri" w:cs="Calibri"/>
          <w:b/>
          <w:bCs/>
          <w:sz w:val="20"/>
          <w:szCs w:val="20"/>
        </w:rPr>
        <w:t>Potrivit rezultatelor evaluării, o</w:t>
      </w:r>
      <w:r w:rsidRPr="006E7D2A">
        <w:rPr>
          <w:rFonts w:ascii="Calibri" w:hAnsi="Calibri" w:cs="Calibri"/>
          <w:sz w:val="20"/>
          <w:szCs w:val="20"/>
        </w:rPr>
        <w:t xml:space="preserve">biectivele, acțiunile și intervențiile implementate în arealul ITI Delta Dunării continuă să fie în mare măsură relevante pentru problemele socio-economice actuale ale regiunii, precum și pentru nevoile identificate în Strategia Integrată de Dezvoltare Durabilă a Deltei Dunării. Direcțiile strategice stabilite prin SIDDDD rămân </w:t>
      </w:r>
      <w:r w:rsidRPr="006E7D2A">
        <w:rPr>
          <w:rFonts w:ascii="Calibri" w:hAnsi="Calibri" w:cs="Calibri"/>
          <w:b/>
          <w:bCs/>
          <w:sz w:val="20"/>
          <w:szCs w:val="20"/>
        </w:rPr>
        <w:t>valide și prioritare</w:t>
      </w:r>
      <w:r w:rsidRPr="006E7D2A">
        <w:rPr>
          <w:rFonts w:ascii="Calibri" w:hAnsi="Calibri" w:cs="Calibri"/>
          <w:sz w:val="20"/>
          <w:szCs w:val="20"/>
        </w:rPr>
        <w:t xml:space="preserve">, necesitând </w:t>
      </w:r>
      <w:r w:rsidRPr="006E7D2A">
        <w:rPr>
          <w:rFonts w:ascii="Calibri" w:hAnsi="Calibri" w:cs="Calibri"/>
          <w:b/>
          <w:bCs/>
          <w:sz w:val="20"/>
          <w:szCs w:val="20"/>
        </w:rPr>
        <w:t>continuitate și consolidare</w:t>
      </w:r>
      <w:r w:rsidRPr="006E7D2A">
        <w:rPr>
          <w:rFonts w:ascii="Calibri" w:hAnsi="Calibri" w:cs="Calibri"/>
          <w:sz w:val="20"/>
          <w:szCs w:val="20"/>
        </w:rPr>
        <w:t xml:space="preserve"> pentru a reduce decalajele structurale și a sprijini dezvoltarea sustenabilă a Deltei Dunării.</w:t>
      </w:r>
    </w:p>
    <w:p w14:paraId="649B70B3" w14:textId="77777777" w:rsidR="00BA0BEC" w:rsidRPr="006E7D2A" w:rsidRDefault="00BA0BEC" w:rsidP="00E55840">
      <w:pPr>
        <w:spacing w:line="240" w:lineRule="auto"/>
        <w:jc w:val="both"/>
        <w:rPr>
          <w:rFonts w:ascii="Calibri" w:hAnsi="Calibri" w:cs="Calibri"/>
          <w:sz w:val="20"/>
          <w:szCs w:val="20"/>
        </w:rPr>
      </w:pPr>
      <w:r w:rsidRPr="006E7D2A">
        <w:rPr>
          <w:rFonts w:ascii="Calibri" w:hAnsi="Calibri" w:cs="Calibri"/>
          <w:sz w:val="20"/>
          <w:szCs w:val="20"/>
        </w:rPr>
        <w:t xml:space="preserve">Din punct de vedere financiar, alocarea pentru perioada 2021–2027 este semnificativ </w:t>
      </w:r>
      <w:r w:rsidRPr="006E7D2A">
        <w:rPr>
          <w:rFonts w:ascii="Calibri" w:hAnsi="Calibri" w:cs="Calibri"/>
          <w:b/>
          <w:bCs/>
          <w:sz w:val="20"/>
          <w:szCs w:val="20"/>
        </w:rPr>
        <w:t>mai redusă decât în perioada anterioară</w:t>
      </w:r>
      <w:r w:rsidRPr="006E7D2A">
        <w:rPr>
          <w:rFonts w:ascii="Calibri" w:hAnsi="Calibri" w:cs="Calibri"/>
          <w:sz w:val="20"/>
          <w:szCs w:val="20"/>
        </w:rPr>
        <w:t xml:space="preserve"> într-un context caracterizat de </w:t>
      </w:r>
      <w:r w:rsidRPr="006E7D2A">
        <w:rPr>
          <w:rFonts w:ascii="Calibri" w:hAnsi="Calibri" w:cs="Calibri"/>
          <w:b/>
          <w:bCs/>
          <w:sz w:val="20"/>
          <w:szCs w:val="20"/>
        </w:rPr>
        <w:t>nevoi crescute</w:t>
      </w:r>
      <w:r w:rsidRPr="006E7D2A">
        <w:rPr>
          <w:rFonts w:ascii="Calibri" w:hAnsi="Calibri" w:cs="Calibri"/>
          <w:sz w:val="20"/>
          <w:szCs w:val="20"/>
        </w:rPr>
        <w:t>, generate și de efectele războiului din Ucraina.</w:t>
      </w:r>
    </w:p>
    <w:p w14:paraId="3A3F7A9D" w14:textId="3F3A0CC5" w:rsidR="00BA0BEC" w:rsidRPr="006E7D2A" w:rsidRDefault="00BA0BEC" w:rsidP="00E55840">
      <w:pPr>
        <w:spacing w:line="240" w:lineRule="auto"/>
        <w:jc w:val="both"/>
        <w:rPr>
          <w:rFonts w:ascii="Calibri" w:hAnsi="Calibri" w:cs="Calibri"/>
          <w:sz w:val="20"/>
          <w:szCs w:val="20"/>
        </w:rPr>
      </w:pPr>
      <w:r w:rsidRPr="006E7D2A">
        <w:rPr>
          <w:rFonts w:ascii="Calibri" w:hAnsi="Calibri" w:cs="Calibri"/>
          <w:sz w:val="20"/>
          <w:szCs w:val="20"/>
        </w:rPr>
        <w:t xml:space="preserve">Progresul actual al implementării în cadrul ITI Delta Dunării este </w:t>
      </w:r>
      <w:r w:rsidRPr="006E7D2A">
        <w:rPr>
          <w:rFonts w:ascii="Calibri" w:hAnsi="Calibri" w:cs="Calibri"/>
          <w:b/>
          <w:bCs/>
          <w:sz w:val="20"/>
          <w:szCs w:val="20"/>
        </w:rPr>
        <w:t>moderat</w:t>
      </w:r>
      <w:r w:rsidRPr="006E7D2A">
        <w:rPr>
          <w:rFonts w:ascii="Calibri" w:hAnsi="Calibri" w:cs="Calibri"/>
          <w:sz w:val="20"/>
          <w:szCs w:val="20"/>
        </w:rPr>
        <w:t xml:space="preserve">, cu o </w:t>
      </w:r>
      <w:r w:rsidRPr="006E7D2A">
        <w:rPr>
          <w:rFonts w:ascii="Calibri" w:hAnsi="Calibri" w:cs="Calibri"/>
          <w:b/>
          <w:bCs/>
          <w:sz w:val="20"/>
          <w:szCs w:val="20"/>
        </w:rPr>
        <w:t>contractare de doar 24,8% din totalul alocării</w:t>
      </w:r>
      <w:r w:rsidRPr="006E7D2A">
        <w:rPr>
          <w:rFonts w:ascii="Calibri" w:hAnsi="Calibri" w:cs="Calibri"/>
          <w:sz w:val="20"/>
          <w:szCs w:val="20"/>
        </w:rPr>
        <w:t xml:space="preserve"> disponibile. Doar 19 proiecte contractate sunt aferente arealului ITI DD, în principal proiecte etapizate. Gradul general de contractare variază semnificativ între priorități și obiective specifice. De exemplu, pentru OS5.1 gradul de contractare este de 54%, în timp ce pentru OS5.2 este doar 12%. În același timp, pentru priorități importante precum P1 și P4 nu au fost încă lansate apeluri, afectând ritmul de progres al întregului mecanism.</w:t>
      </w:r>
    </w:p>
    <w:p w14:paraId="304FAEFB" w14:textId="77777777" w:rsidR="00BA0BEC" w:rsidRPr="006E7D2A" w:rsidRDefault="00BA0BEC" w:rsidP="00E55840">
      <w:pPr>
        <w:spacing w:line="240" w:lineRule="auto"/>
        <w:jc w:val="both"/>
        <w:rPr>
          <w:rFonts w:ascii="Calibri" w:hAnsi="Calibri" w:cs="Calibri"/>
          <w:sz w:val="20"/>
          <w:szCs w:val="20"/>
        </w:rPr>
      </w:pPr>
      <w:r w:rsidRPr="006E7D2A">
        <w:rPr>
          <w:rFonts w:ascii="Calibri" w:hAnsi="Calibri" w:cs="Calibri"/>
          <w:sz w:val="20"/>
          <w:szCs w:val="20"/>
        </w:rPr>
        <w:t>Implementarea intervențiilor în arealul ITI Delta Dunării este afectată de resursele financiare, umane și tehnice insuficiente, în ciuda progreselor instituționale și a sprijinului oferit de ADI ITI DD. Capacitatea administrativă scăzută a multor UAT-uri, alături de digitalizarea limitată și procesele birocratice complexe, îngreunează accesul la finanțare și implementarea proiectelor.</w:t>
      </w:r>
    </w:p>
    <w:p w14:paraId="7BF893C5" w14:textId="77777777" w:rsidR="00BA0BEC" w:rsidRPr="006E7D2A" w:rsidRDefault="00BA0BEC" w:rsidP="00E55840">
      <w:pPr>
        <w:spacing w:line="240" w:lineRule="auto"/>
        <w:jc w:val="both"/>
        <w:rPr>
          <w:rFonts w:ascii="Calibri" w:hAnsi="Calibri" w:cs="Calibri"/>
          <w:sz w:val="20"/>
          <w:szCs w:val="20"/>
        </w:rPr>
      </w:pPr>
      <w:r w:rsidRPr="006E7D2A">
        <w:rPr>
          <w:rFonts w:ascii="Calibri" w:hAnsi="Calibri" w:cs="Calibri"/>
          <w:sz w:val="20"/>
          <w:szCs w:val="20"/>
        </w:rPr>
        <w:t>Problemele recurente în zona achizițiilor publice, precum întârzierile și corecțiile financiare, contribuie la un nivel scăzut de eficiență în derularea investițiilor.</w:t>
      </w:r>
    </w:p>
    <w:p w14:paraId="0A49DC70" w14:textId="77777777" w:rsidR="00BA0BEC" w:rsidRPr="006E7D2A" w:rsidRDefault="00BA0BEC" w:rsidP="00E55840">
      <w:pPr>
        <w:spacing w:line="240" w:lineRule="auto"/>
        <w:jc w:val="both"/>
        <w:rPr>
          <w:rFonts w:ascii="Calibri" w:hAnsi="Calibri" w:cs="Calibri"/>
          <w:sz w:val="20"/>
          <w:szCs w:val="20"/>
        </w:rPr>
      </w:pPr>
      <w:r w:rsidRPr="006E7D2A">
        <w:rPr>
          <w:rFonts w:ascii="Calibri" w:hAnsi="Calibri" w:cs="Calibri"/>
          <w:sz w:val="20"/>
          <w:szCs w:val="20"/>
        </w:rPr>
        <w:t xml:space="preserve">Pentru a îmbunătăți calitatea implementării Programului Regional Sud-Est (PRSE) în arealul ITI Delta Dunării, sunt necesare o serie de </w:t>
      </w:r>
      <w:r w:rsidRPr="006E7D2A">
        <w:rPr>
          <w:rFonts w:ascii="Calibri" w:hAnsi="Calibri" w:cs="Calibri"/>
          <w:b/>
          <w:bCs/>
          <w:sz w:val="20"/>
          <w:szCs w:val="20"/>
        </w:rPr>
        <w:t>măsuri structurale și operaționale</w:t>
      </w:r>
      <w:r w:rsidRPr="006E7D2A">
        <w:rPr>
          <w:rFonts w:ascii="Calibri" w:hAnsi="Calibri" w:cs="Calibri"/>
          <w:sz w:val="20"/>
          <w:szCs w:val="20"/>
        </w:rPr>
        <w:t xml:space="preserve"> care să vizeze atât consolidarea capacității beneficiarilor, cât și eficientizarea proceselor de management și evaluare.</w:t>
      </w:r>
    </w:p>
    <w:p w14:paraId="49B7EB4A" w14:textId="6A707125" w:rsidR="00E10E90" w:rsidRPr="006E7D2A" w:rsidRDefault="00CD2363" w:rsidP="006E7D2A">
      <w:pPr>
        <w:pStyle w:val="ListParagraph"/>
        <w:suppressAutoHyphens/>
        <w:spacing w:before="120" w:after="120" w:line="240" w:lineRule="auto"/>
        <w:ind w:left="0"/>
        <w:contextualSpacing w:val="0"/>
        <w:jc w:val="both"/>
        <w:rPr>
          <w:rFonts w:ascii="Calibri" w:hAnsi="Calibri" w:cs="Calibri"/>
          <w:sz w:val="20"/>
          <w:szCs w:val="20"/>
        </w:rPr>
      </w:pPr>
      <w:r w:rsidRPr="006E7D2A">
        <w:rPr>
          <w:rFonts w:ascii="Calibri" w:hAnsi="Calibri" w:cs="Calibri"/>
          <w:sz w:val="20"/>
          <w:szCs w:val="20"/>
        </w:rPr>
        <w:t xml:space="preserve">Programul are o relevanță ridicată față de Strategia </w:t>
      </w:r>
      <w:r w:rsidR="00F87510" w:rsidRPr="006E7D2A">
        <w:rPr>
          <w:rFonts w:ascii="Calibri" w:hAnsi="Calibri" w:cs="Calibri"/>
          <w:sz w:val="20"/>
          <w:szCs w:val="20"/>
        </w:rPr>
        <w:t>Integrat</w:t>
      </w:r>
      <w:r w:rsidR="002B69E6" w:rsidRPr="006E7D2A">
        <w:rPr>
          <w:rFonts w:ascii="Calibri" w:hAnsi="Calibri" w:cs="Calibri"/>
          <w:sz w:val="20"/>
          <w:szCs w:val="20"/>
        </w:rPr>
        <w:t>ă</w:t>
      </w:r>
      <w:r w:rsidR="00F87510" w:rsidRPr="006E7D2A">
        <w:rPr>
          <w:rFonts w:ascii="Calibri" w:hAnsi="Calibri" w:cs="Calibri"/>
          <w:sz w:val="20"/>
          <w:szCs w:val="20"/>
        </w:rPr>
        <w:t xml:space="preserve"> de Dezvoltare Durabilă Delta Dunării fiind principala sursă de finanțare. </w:t>
      </w:r>
      <w:r w:rsidR="00B81982" w:rsidRPr="006E7D2A">
        <w:rPr>
          <w:rFonts w:ascii="Calibri" w:hAnsi="Calibri" w:cs="Calibri"/>
          <w:sz w:val="20"/>
          <w:szCs w:val="20"/>
        </w:rPr>
        <w:t xml:space="preserve">Programul s-a adaptat în timp nevoilor de finanțare – acoperind nevoi ce nu puteau fi finanțate în perioada anterioară. Proiectele complexe cu impact regional au fost incluse </w:t>
      </w:r>
      <w:r w:rsidR="00B64056" w:rsidRPr="006E7D2A">
        <w:rPr>
          <w:rFonts w:ascii="Calibri" w:hAnsi="Calibri" w:cs="Calibri"/>
          <w:sz w:val="20"/>
          <w:szCs w:val="20"/>
        </w:rPr>
        <w:t>î</w:t>
      </w:r>
      <w:r w:rsidR="00B81982" w:rsidRPr="006E7D2A">
        <w:rPr>
          <w:rFonts w:ascii="Calibri" w:hAnsi="Calibri" w:cs="Calibri"/>
          <w:sz w:val="20"/>
          <w:szCs w:val="20"/>
        </w:rPr>
        <w:t xml:space="preserve">n PRSE </w:t>
      </w:r>
      <w:r w:rsidR="005712A4" w:rsidRPr="006E7D2A">
        <w:rPr>
          <w:rFonts w:ascii="Calibri" w:hAnsi="Calibri" w:cs="Calibri"/>
          <w:sz w:val="20"/>
          <w:szCs w:val="20"/>
        </w:rPr>
        <w:t xml:space="preserve">alături de proiecte </w:t>
      </w:r>
      <w:r w:rsidR="00623D2D" w:rsidRPr="006E7D2A">
        <w:rPr>
          <w:rFonts w:ascii="Calibri" w:hAnsi="Calibri" w:cs="Calibri"/>
          <w:sz w:val="20"/>
          <w:szCs w:val="20"/>
        </w:rPr>
        <w:t xml:space="preserve">ce se adresează unor nevoie mai specifice locale. </w:t>
      </w:r>
      <w:r w:rsidR="0072545A" w:rsidRPr="006E7D2A">
        <w:rPr>
          <w:rFonts w:ascii="Calibri" w:hAnsi="Calibri" w:cs="Calibri"/>
          <w:sz w:val="20"/>
          <w:szCs w:val="20"/>
        </w:rPr>
        <w:t xml:space="preserve">Provocarea teritorială rămâne implementarea eficientă în condițiile unei capacități limitate </w:t>
      </w:r>
      <w:r w:rsidR="005C63A4" w:rsidRPr="006E7D2A">
        <w:rPr>
          <w:rFonts w:ascii="Calibri" w:hAnsi="Calibri" w:cs="Calibri"/>
          <w:sz w:val="20"/>
          <w:szCs w:val="20"/>
        </w:rPr>
        <w:t xml:space="preserve">la nivelul UATurilor.  </w:t>
      </w:r>
      <w:r w:rsidR="004876BA" w:rsidRPr="006E7D2A">
        <w:rPr>
          <w:rFonts w:ascii="Calibri" w:hAnsi="Calibri" w:cs="Calibri"/>
          <w:sz w:val="20"/>
          <w:szCs w:val="20"/>
        </w:rPr>
        <w:t>Programul poate răspund direcționa finanțarea cât și</w:t>
      </w:r>
      <w:r w:rsidR="0017429C" w:rsidRPr="006E7D2A">
        <w:rPr>
          <w:rFonts w:ascii="Calibri" w:hAnsi="Calibri" w:cs="Calibri"/>
          <w:sz w:val="20"/>
          <w:szCs w:val="20"/>
        </w:rPr>
        <w:t xml:space="preserve"> beneficiile </w:t>
      </w:r>
      <w:r w:rsidR="00003505" w:rsidRPr="006E7D2A">
        <w:rPr>
          <w:rFonts w:ascii="Calibri" w:hAnsi="Calibri" w:cs="Calibri"/>
          <w:sz w:val="20"/>
          <w:szCs w:val="20"/>
        </w:rPr>
        <w:t xml:space="preserve">prin valorificarea unor oportunități oferite de noi priorități ale Uniunii Europene cum ar fi </w:t>
      </w:r>
      <w:r w:rsidR="00E10E90" w:rsidRPr="006E7D2A">
        <w:rPr>
          <w:rFonts w:ascii="Calibri" w:hAnsi="Calibri" w:cs="Calibri"/>
          <w:sz w:val="20"/>
          <w:szCs w:val="20"/>
        </w:rPr>
        <w:t xml:space="preserve">Platforma Tehnologiilor Strategice pentru Europa. Proiectele </w:t>
      </w:r>
      <w:r w:rsidR="000007F7" w:rsidRPr="006E7D2A">
        <w:rPr>
          <w:rFonts w:ascii="Calibri" w:hAnsi="Calibri" w:cs="Calibri"/>
          <w:sz w:val="20"/>
          <w:szCs w:val="20"/>
        </w:rPr>
        <w:t xml:space="preserve">relevante pot constitui </w:t>
      </w:r>
      <w:r w:rsidR="00E10E90" w:rsidRPr="006E7D2A">
        <w:rPr>
          <w:rFonts w:ascii="Calibri" w:hAnsi="Calibri" w:cs="Calibri"/>
          <w:sz w:val="20"/>
          <w:szCs w:val="20"/>
        </w:rPr>
        <w:t xml:space="preserve">un impuls </w:t>
      </w:r>
      <w:r w:rsidR="000007F7" w:rsidRPr="006E7D2A">
        <w:rPr>
          <w:rFonts w:ascii="Calibri" w:hAnsi="Calibri" w:cs="Calibri"/>
          <w:sz w:val="20"/>
          <w:szCs w:val="20"/>
        </w:rPr>
        <w:t xml:space="preserve">pentru activitatea </w:t>
      </w:r>
      <w:r w:rsidR="00E10E90" w:rsidRPr="006E7D2A">
        <w:rPr>
          <w:rFonts w:ascii="Calibri" w:hAnsi="Calibri" w:cs="Calibri"/>
          <w:sz w:val="20"/>
          <w:szCs w:val="20"/>
        </w:rPr>
        <w:t xml:space="preserve">de CDI în regiune. Regiunea Sud-Est beneficiază de o </w:t>
      </w:r>
      <w:r w:rsidR="00E10E90" w:rsidRPr="006E7D2A">
        <w:rPr>
          <w:rFonts w:ascii="Calibri" w:hAnsi="Calibri" w:cs="Calibri"/>
          <w:b/>
          <w:bCs/>
          <w:sz w:val="20"/>
          <w:szCs w:val="20"/>
        </w:rPr>
        <w:t>poziție geostrategică unică</w:t>
      </w:r>
      <w:r w:rsidR="00E10E90" w:rsidRPr="006E7D2A">
        <w:rPr>
          <w:rFonts w:ascii="Calibri" w:hAnsi="Calibri" w:cs="Calibri"/>
          <w:sz w:val="20"/>
          <w:szCs w:val="20"/>
        </w:rPr>
        <w:t xml:space="preserve">, fiind poarta de acces către Marea Neagră și punct de legătură între piețele estice și cele europene. Delta Dunării, ca parte a regiunii, oferă oportunități unice în </w:t>
      </w:r>
      <w:r w:rsidR="00E10E90" w:rsidRPr="006E7D2A">
        <w:rPr>
          <w:rFonts w:ascii="Calibri" w:hAnsi="Calibri" w:cs="Calibri"/>
          <w:b/>
          <w:bCs/>
          <w:sz w:val="20"/>
          <w:szCs w:val="20"/>
        </w:rPr>
        <w:t>bioeconomie, cercetare ecologică și soluții bazate pe natură</w:t>
      </w:r>
      <w:r w:rsidR="00E10E90" w:rsidRPr="006E7D2A">
        <w:rPr>
          <w:rFonts w:ascii="Calibri" w:hAnsi="Calibri" w:cs="Calibri"/>
          <w:sz w:val="20"/>
          <w:szCs w:val="20"/>
        </w:rPr>
        <w:t xml:space="preserve">, relevante pentru tranziția verde susținută de STEP. Mai mult decât atât Regiunea are deja definite </w:t>
      </w:r>
      <w:r w:rsidR="00E10E90" w:rsidRPr="006E7D2A">
        <w:rPr>
          <w:rFonts w:ascii="Calibri" w:hAnsi="Calibri" w:cs="Calibri"/>
          <w:b/>
          <w:bCs/>
          <w:sz w:val="20"/>
          <w:szCs w:val="20"/>
        </w:rPr>
        <w:t>nișe de specializare inteligentă</w:t>
      </w:r>
      <w:r w:rsidR="00E10E90" w:rsidRPr="006E7D2A">
        <w:rPr>
          <w:rFonts w:ascii="Calibri" w:hAnsi="Calibri" w:cs="Calibri"/>
          <w:sz w:val="20"/>
          <w:szCs w:val="20"/>
        </w:rPr>
        <w:t xml:space="preserve"> – cum ar fi:</w:t>
      </w:r>
    </w:p>
    <w:p w14:paraId="2FCA5425" w14:textId="77777777" w:rsidR="00E10E90" w:rsidRPr="006E7D2A" w:rsidRDefault="00E10E90" w:rsidP="00DA26AE">
      <w:pPr>
        <w:pStyle w:val="ListParagraph"/>
        <w:numPr>
          <w:ilvl w:val="0"/>
          <w:numId w:val="22"/>
        </w:numPr>
        <w:suppressAutoHyphens/>
        <w:spacing w:before="120" w:after="120" w:line="240" w:lineRule="auto"/>
        <w:jc w:val="both"/>
        <w:rPr>
          <w:rFonts w:ascii="Calibri" w:hAnsi="Calibri" w:cs="Calibri"/>
          <w:sz w:val="20"/>
          <w:szCs w:val="20"/>
        </w:rPr>
      </w:pPr>
      <w:r w:rsidRPr="006E7D2A">
        <w:rPr>
          <w:rFonts w:ascii="Calibri" w:hAnsi="Calibri" w:cs="Calibri"/>
          <w:sz w:val="20"/>
          <w:szCs w:val="20"/>
        </w:rPr>
        <w:t>Energie din surse regenerabile (eolian offshore/onshore, solar),</w:t>
      </w:r>
    </w:p>
    <w:p w14:paraId="000AD641" w14:textId="77777777" w:rsidR="00E10E90" w:rsidRPr="006E7D2A" w:rsidRDefault="00E10E90" w:rsidP="00DA26AE">
      <w:pPr>
        <w:pStyle w:val="ListParagraph"/>
        <w:numPr>
          <w:ilvl w:val="0"/>
          <w:numId w:val="22"/>
        </w:numPr>
        <w:suppressAutoHyphens/>
        <w:spacing w:before="120" w:after="120" w:line="240" w:lineRule="auto"/>
        <w:jc w:val="both"/>
        <w:rPr>
          <w:rFonts w:ascii="Calibri" w:hAnsi="Calibri" w:cs="Calibri"/>
          <w:sz w:val="20"/>
          <w:szCs w:val="20"/>
        </w:rPr>
      </w:pPr>
      <w:r w:rsidRPr="006E7D2A">
        <w:rPr>
          <w:rFonts w:ascii="Calibri" w:hAnsi="Calibri" w:cs="Calibri"/>
          <w:sz w:val="20"/>
          <w:szCs w:val="20"/>
        </w:rPr>
        <w:t>Tehnologii ecologice pentru agricultură și turism sustenabil,</w:t>
      </w:r>
    </w:p>
    <w:p w14:paraId="3ACA21AD" w14:textId="77777777" w:rsidR="00E10E90" w:rsidRPr="006E7D2A" w:rsidRDefault="00E10E90" w:rsidP="00DA26AE">
      <w:pPr>
        <w:pStyle w:val="ListParagraph"/>
        <w:numPr>
          <w:ilvl w:val="0"/>
          <w:numId w:val="22"/>
        </w:numPr>
        <w:suppressAutoHyphens/>
        <w:spacing w:before="120" w:after="120" w:line="240" w:lineRule="auto"/>
        <w:jc w:val="both"/>
        <w:rPr>
          <w:rFonts w:ascii="Calibri" w:hAnsi="Calibri" w:cs="Calibri"/>
          <w:sz w:val="20"/>
          <w:szCs w:val="20"/>
        </w:rPr>
      </w:pPr>
      <w:r w:rsidRPr="006E7D2A">
        <w:rPr>
          <w:rFonts w:ascii="Calibri" w:hAnsi="Calibri" w:cs="Calibri"/>
          <w:sz w:val="20"/>
          <w:szCs w:val="20"/>
        </w:rPr>
        <w:t>Digitalizare aplicată în logistică portuară și în lanțurile valorice agroalimentare</w:t>
      </w:r>
    </w:p>
    <w:p w14:paraId="454D3FAD" w14:textId="777ACE2D" w:rsidR="00065707" w:rsidRPr="006E7D2A" w:rsidRDefault="00065707" w:rsidP="00E55840">
      <w:pPr>
        <w:spacing w:line="240" w:lineRule="auto"/>
        <w:jc w:val="both"/>
        <w:rPr>
          <w:rFonts w:ascii="Calibri" w:hAnsi="Calibri" w:cs="Calibri"/>
          <w:sz w:val="20"/>
          <w:szCs w:val="20"/>
        </w:rPr>
      </w:pPr>
    </w:p>
    <w:p w14:paraId="4E9A6F81" w14:textId="487B8F19" w:rsidR="00BA0BEC" w:rsidRPr="006E7D2A" w:rsidRDefault="005203E3" w:rsidP="00E55840">
      <w:pPr>
        <w:spacing w:line="240" w:lineRule="auto"/>
        <w:jc w:val="both"/>
        <w:rPr>
          <w:rFonts w:ascii="Calibri" w:hAnsi="Calibri" w:cs="Calibri"/>
          <w:sz w:val="20"/>
          <w:szCs w:val="20"/>
        </w:rPr>
      </w:pPr>
      <w:r w:rsidRPr="006E7D2A">
        <w:rPr>
          <w:rFonts w:ascii="Calibri" w:hAnsi="Calibri" w:cs="Calibri"/>
          <w:sz w:val="20"/>
          <w:szCs w:val="20"/>
        </w:rPr>
        <w:lastRenderedPageBreak/>
        <w:t>Evaluarea formuleaz</w:t>
      </w:r>
      <w:r w:rsidR="000007F7" w:rsidRPr="006E7D2A">
        <w:rPr>
          <w:rFonts w:ascii="Calibri" w:hAnsi="Calibri" w:cs="Calibri"/>
          <w:sz w:val="20"/>
          <w:szCs w:val="20"/>
        </w:rPr>
        <w:t>ă</w:t>
      </w:r>
      <w:r w:rsidRPr="006E7D2A">
        <w:rPr>
          <w:rFonts w:ascii="Calibri" w:hAnsi="Calibri" w:cs="Calibri"/>
          <w:sz w:val="20"/>
          <w:szCs w:val="20"/>
        </w:rPr>
        <w:t xml:space="preserve"> recomandări specifice teritoriului ITI Delta Dunării, coerente cu recomandările formulate pentru între programul regional și </w:t>
      </w:r>
      <w:r w:rsidR="00B21C3A" w:rsidRPr="006E7D2A">
        <w:rPr>
          <w:rFonts w:ascii="Calibri" w:hAnsi="Calibri" w:cs="Calibri"/>
          <w:sz w:val="20"/>
          <w:szCs w:val="20"/>
        </w:rPr>
        <w:t>regiunea Sud-Est.</w:t>
      </w:r>
    </w:p>
    <w:p w14:paraId="7B4AC1BC" w14:textId="77777777" w:rsidR="00B21C3A" w:rsidRPr="006E7D2A" w:rsidRDefault="00B21C3A" w:rsidP="00B21C3A">
      <w:pPr>
        <w:pStyle w:val="ListParagraph"/>
        <w:numPr>
          <w:ilvl w:val="0"/>
          <w:numId w:val="19"/>
        </w:numPr>
        <w:suppressAutoHyphens/>
        <w:spacing w:before="120" w:after="120" w:line="240" w:lineRule="auto"/>
        <w:jc w:val="both"/>
        <w:rPr>
          <w:rFonts w:ascii="Calibri" w:hAnsi="Calibri" w:cs="Calibri"/>
          <w:sz w:val="20"/>
          <w:szCs w:val="20"/>
        </w:rPr>
      </w:pPr>
      <w:bookmarkStart w:id="0" w:name="_Hlk193818820"/>
      <w:r w:rsidRPr="006E7D2A">
        <w:rPr>
          <w:rFonts w:ascii="Calibri" w:hAnsi="Calibri" w:cs="Calibri"/>
          <w:sz w:val="20"/>
          <w:szCs w:val="20"/>
        </w:rPr>
        <w:t>Sprijinirea  beneficiarilor din ITI Delta Dunării pentru pregătirea la timp a proiectelor pentru apelurile planificate în anul 2025.</w:t>
      </w:r>
    </w:p>
    <w:p w14:paraId="7DF7454D" w14:textId="77777777" w:rsidR="00B21C3A" w:rsidRPr="006E7D2A" w:rsidRDefault="00B21C3A" w:rsidP="00B21C3A">
      <w:pPr>
        <w:pStyle w:val="ListParagraph"/>
        <w:numPr>
          <w:ilvl w:val="0"/>
          <w:numId w:val="19"/>
        </w:numPr>
        <w:suppressAutoHyphens/>
        <w:spacing w:before="120" w:after="120" w:line="240" w:lineRule="auto"/>
        <w:jc w:val="both"/>
        <w:rPr>
          <w:rFonts w:ascii="Calibri" w:hAnsi="Calibri" w:cs="Calibri"/>
          <w:sz w:val="20"/>
          <w:szCs w:val="20"/>
        </w:rPr>
      </w:pPr>
      <w:r w:rsidRPr="006E7D2A">
        <w:rPr>
          <w:rFonts w:ascii="Calibri" w:hAnsi="Calibri" w:cs="Calibri"/>
          <w:sz w:val="20"/>
          <w:szCs w:val="20"/>
        </w:rPr>
        <w:t>Crearea unui corp de evaluatori de proiecte propriu al AM. Identificarea de potențiali evaluatori de proiecte în teritoriul ITI Delta Dunării</w:t>
      </w:r>
    </w:p>
    <w:p w14:paraId="122A8C7E" w14:textId="77777777" w:rsidR="00B21C3A" w:rsidRPr="006E7D2A" w:rsidRDefault="00B21C3A" w:rsidP="00B21C3A">
      <w:pPr>
        <w:pStyle w:val="ListParagraph"/>
        <w:numPr>
          <w:ilvl w:val="0"/>
          <w:numId w:val="19"/>
        </w:numPr>
        <w:suppressAutoHyphens/>
        <w:spacing w:before="120" w:after="120" w:line="240" w:lineRule="auto"/>
        <w:jc w:val="both"/>
        <w:rPr>
          <w:rFonts w:ascii="Calibri" w:hAnsi="Calibri" w:cs="Calibri"/>
          <w:color w:val="000000" w:themeColor="text1"/>
          <w:sz w:val="20"/>
          <w:szCs w:val="20"/>
        </w:rPr>
      </w:pPr>
      <w:r w:rsidRPr="006E7D2A">
        <w:rPr>
          <w:rFonts w:ascii="Calibri" w:hAnsi="Calibri" w:cs="Calibri"/>
          <w:color w:val="000000" w:themeColor="text1"/>
          <w:sz w:val="20"/>
          <w:szCs w:val="20"/>
        </w:rPr>
        <w:t>Monitorizare sistematică și structurată a proiectelor-cheie planificte pentru ITI DD în faza de pregătire</w:t>
      </w:r>
    </w:p>
    <w:p w14:paraId="055C7872" w14:textId="77777777" w:rsidR="00B21C3A" w:rsidRPr="006E7D2A" w:rsidRDefault="00B21C3A" w:rsidP="00B21C3A">
      <w:pPr>
        <w:numPr>
          <w:ilvl w:val="1"/>
          <w:numId w:val="19"/>
        </w:numPr>
        <w:suppressAutoHyphens/>
        <w:spacing w:before="120" w:after="120" w:line="240" w:lineRule="auto"/>
        <w:jc w:val="both"/>
        <w:rPr>
          <w:rFonts w:ascii="Calibri" w:hAnsi="Calibri" w:cs="Calibri"/>
          <w:sz w:val="20"/>
          <w:szCs w:val="20"/>
        </w:rPr>
      </w:pPr>
      <w:r w:rsidRPr="006E7D2A">
        <w:rPr>
          <w:rFonts w:ascii="Calibri" w:hAnsi="Calibri" w:cs="Calibri"/>
          <w:sz w:val="20"/>
          <w:szCs w:val="20"/>
        </w:rPr>
        <w:t xml:space="preserve">„Proiect integrat pentru îmbunătățirea condițiilor hidrologice, repopulare și reproducere pește, renaturare, monitorizare și protecție în Complexul Lacustru Somova-Parcheș, precum și consacrarea conceptului de Deltă a copiilor” (Prioritatea 2), </w:t>
      </w:r>
    </w:p>
    <w:p w14:paraId="47856982" w14:textId="1D21CB0A" w:rsidR="00B21C3A" w:rsidRPr="006E7D2A" w:rsidRDefault="00B21C3A" w:rsidP="00B21C3A">
      <w:pPr>
        <w:numPr>
          <w:ilvl w:val="1"/>
          <w:numId w:val="19"/>
        </w:numPr>
        <w:suppressAutoHyphens/>
        <w:spacing w:before="120" w:after="120" w:line="240" w:lineRule="auto"/>
        <w:jc w:val="both"/>
        <w:rPr>
          <w:rFonts w:ascii="Calibri" w:hAnsi="Calibri" w:cs="Calibri"/>
          <w:sz w:val="20"/>
          <w:szCs w:val="20"/>
        </w:rPr>
      </w:pPr>
      <w:r w:rsidRPr="006E7D2A">
        <w:rPr>
          <w:rFonts w:ascii="Calibri" w:hAnsi="Calibri" w:cs="Calibri"/>
          <w:sz w:val="20"/>
          <w:szCs w:val="20"/>
        </w:rPr>
        <w:t>Proiectul ITI – investiții destinate sistemului de transport public adaptat nevoilor, cerințelor actuale ale mediului și siguranței pasagerilor, coroborate cu infrastructura de acostare din arealul ITI DD (Prioritatea 4</w:t>
      </w:r>
      <w:r w:rsidR="006E7D2A">
        <w:rPr>
          <w:rFonts w:ascii="Calibri" w:hAnsi="Calibri" w:cs="Calibri"/>
          <w:sz w:val="20"/>
          <w:szCs w:val="20"/>
        </w:rPr>
        <w:t>.</w:t>
      </w:r>
    </w:p>
    <w:p w14:paraId="642D6DA0" w14:textId="77777777" w:rsidR="00B21C3A" w:rsidRPr="006E7D2A" w:rsidRDefault="00B21C3A" w:rsidP="000007F7">
      <w:pPr>
        <w:suppressAutoHyphens/>
        <w:rPr>
          <w:rFonts w:ascii="Calibri" w:hAnsi="Calibri" w:cs="Calibri"/>
          <w:color w:val="000000" w:themeColor="text1"/>
          <w:sz w:val="20"/>
          <w:szCs w:val="20"/>
        </w:rPr>
      </w:pPr>
      <w:r w:rsidRPr="006E7D2A">
        <w:rPr>
          <w:rFonts w:ascii="Calibri" w:eastAsia="Arial" w:hAnsi="Calibri" w:cs="Calibri"/>
          <w:sz w:val="20"/>
          <w:szCs w:val="20"/>
        </w:rPr>
        <w:t>Această abordare presupune o regularitate a monitorizării procesului, pe etape sau stadii de maturizare a proiectelor, și responsabilități clare privind progresul în pregătirea proiectelor. Publicarea procesului, inclusiv a îndeplinirii responsabilităților în pregătirea proiectelor, poate contribui la creșterea responsabilizării entităților implicate și la managementul scenariilor privind absorbția și eficacitatea până la finalizarea programului.</w:t>
      </w:r>
    </w:p>
    <w:p w14:paraId="3DD38551" w14:textId="656BCAD8" w:rsidR="00B21C3A" w:rsidRPr="006E7D2A" w:rsidRDefault="00A57CFD" w:rsidP="00B21C3A">
      <w:pPr>
        <w:pStyle w:val="ListParagraph"/>
        <w:numPr>
          <w:ilvl w:val="0"/>
          <w:numId w:val="19"/>
        </w:numPr>
        <w:suppressAutoHyphens/>
        <w:spacing w:before="120" w:after="120" w:line="240" w:lineRule="auto"/>
        <w:jc w:val="both"/>
        <w:rPr>
          <w:rFonts w:ascii="Calibri" w:hAnsi="Calibri" w:cs="Calibri"/>
          <w:color w:val="000000" w:themeColor="text1"/>
          <w:sz w:val="20"/>
          <w:szCs w:val="20"/>
        </w:rPr>
      </w:pPr>
      <w:r w:rsidRPr="006E7D2A">
        <w:rPr>
          <w:rFonts w:ascii="Calibri" w:eastAsia="Arial" w:hAnsi="Calibri" w:cs="Calibri"/>
          <w:sz w:val="20"/>
          <w:szCs w:val="20"/>
        </w:rPr>
        <w:t>Valorificarea oportunităților create prin i</w:t>
      </w:r>
      <w:r w:rsidR="00B21C3A" w:rsidRPr="006E7D2A">
        <w:rPr>
          <w:rFonts w:ascii="Calibri" w:eastAsia="Arial" w:hAnsi="Calibri" w:cs="Calibri"/>
          <w:sz w:val="20"/>
          <w:szCs w:val="20"/>
        </w:rPr>
        <w:t xml:space="preserve">ntegrarea în program a </w:t>
      </w:r>
      <w:r w:rsidRPr="006E7D2A">
        <w:rPr>
          <w:rFonts w:ascii="Calibri" w:eastAsia="Arial" w:hAnsi="Calibri" w:cs="Calibri"/>
          <w:sz w:val="20"/>
          <w:szCs w:val="20"/>
        </w:rPr>
        <w:t>i</w:t>
      </w:r>
      <w:r w:rsidR="00B21C3A" w:rsidRPr="006E7D2A">
        <w:rPr>
          <w:rFonts w:ascii="Calibri" w:eastAsia="Arial" w:hAnsi="Calibri" w:cs="Calibri"/>
          <w:sz w:val="20"/>
          <w:szCs w:val="20"/>
        </w:rPr>
        <w:t>ntervenții</w:t>
      </w:r>
      <w:r w:rsidRPr="006E7D2A">
        <w:rPr>
          <w:rFonts w:ascii="Calibri" w:eastAsia="Arial" w:hAnsi="Calibri" w:cs="Calibri"/>
          <w:sz w:val="20"/>
          <w:szCs w:val="20"/>
        </w:rPr>
        <w:t>lor</w:t>
      </w:r>
      <w:r w:rsidR="00B21C3A" w:rsidRPr="006E7D2A">
        <w:rPr>
          <w:rFonts w:ascii="Calibri" w:eastAsia="Arial" w:hAnsi="Calibri" w:cs="Calibri"/>
          <w:sz w:val="20"/>
          <w:szCs w:val="20"/>
        </w:rPr>
        <w:t xml:space="preserve"> a căror oportunitate a fost creată prin regulament</w:t>
      </w:r>
      <w:r w:rsidRPr="006E7D2A">
        <w:rPr>
          <w:rFonts w:ascii="Calibri" w:eastAsia="Arial" w:hAnsi="Calibri" w:cs="Calibri"/>
          <w:sz w:val="20"/>
          <w:szCs w:val="20"/>
        </w:rPr>
        <w:t xml:space="preserve">ul </w:t>
      </w:r>
      <w:r w:rsidR="00B21C3A" w:rsidRPr="006E7D2A">
        <w:rPr>
          <w:rFonts w:ascii="Calibri" w:eastAsia="Arial" w:hAnsi="Calibri" w:cs="Calibri"/>
          <w:sz w:val="20"/>
          <w:szCs w:val="20"/>
        </w:rPr>
        <w:t>STEP (Regulamentul (UE) 2024/795)</w:t>
      </w:r>
      <w:r w:rsidRPr="006E7D2A">
        <w:rPr>
          <w:rFonts w:ascii="Calibri" w:eastAsia="Arial" w:hAnsi="Calibri" w:cs="Calibri"/>
          <w:sz w:val="20"/>
          <w:szCs w:val="20"/>
        </w:rPr>
        <w:t>.</w:t>
      </w:r>
      <w:r w:rsidR="00B21C3A" w:rsidRPr="006E7D2A">
        <w:rPr>
          <w:rFonts w:ascii="Calibri" w:eastAsia="Arial" w:hAnsi="Calibri" w:cs="Calibri"/>
          <w:sz w:val="20"/>
          <w:szCs w:val="20"/>
        </w:rPr>
        <w:t xml:space="preserve"> </w:t>
      </w:r>
      <w:r w:rsidRPr="006E7D2A">
        <w:rPr>
          <w:rFonts w:ascii="Calibri" w:eastAsia="Arial" w:hAnsi="Calibri" w:cs="Calibri"/>
          <w:sz w:val="20"/>
          <w:szCs w:val="20"/>
        </w:rPr>
        <w:t>I</w:t>
      </w:r>
      <w:r w:rsidR="00B21C3A" w:rsidRPr="006E7D2A">
        <w:rPr>
          <w:rFonts w:ascii="Calibri" w:eastAsia="Arial" w:hAnsi="Calibri" w:cs="Calibri"/>
          <w:sz w:val="20"/>
          <w:szCs w:val="20"/>
        </w:rPr>
        <w:t>nițiativa privind valorificarea oportunităților oferite de tehnologiile strategice și emergente, prin Platforma STEP, trebuie abordată ca un impuls dat activităților de CDI în regiune, valorificând potențialul institutelor de cercetare și universităților, precum și al unor resurse naturale unice ale regiunii, cum ar fi Delta Dunării, biodiversitatea,  energia verde.</w:t>
      </w:r>
      <w:r w:rsidR="00DA1C33" w:rsidRPr="006E7D2A">
        <w:rPr>
          <w:rFonts w:ascii="Calibri" w:eastAsia="Arial" w:hAnsi="Calibri" w:cs="Calibri"/>
          <w:sz w:val="20"/>
          <w:szCs w:val="20"/>
        </w:rPr>
        <w:t xml:space="preserve"> La nivelul ITI </w:t>
      </w:r>
      <w:r w:rsidR="006C3209" w:rsidRPr="006E7D2A">
        <w:rPr>
          <w:rFonts w:ascii="Calibri" w:eastAsia="Arial" w:hAnsi="Calibri" w:cs="Calibri"/>
          <w:sz w:val="20"/>
          <w:szCs w:val="20"/>
        </w:rPr>
        <w:t xml:space="preserve">Delta Dunării actorii regionali </w:t>
      </w:r>
      <w:r w:rsidR="00C708D5" w:rsidRPr="006E7D2A">
        <w:rPr>
          <w:rFonts w:ascii="Calibri" w:eastAsia="Arial" w:hAnsi="Calibri" w:cs="Calibri"/>
          <w:sz w:val="20"/>
          <w:szCs w:val="20"/>
        </w:rPr>
        <w:t xml:space="preserve">vor mobiliza resursele existente pentru identificarea proiectelor relevante STEP care valorfică cel mai </w:t>
      </w:r>
      <w:r w:rsidR="004F089B" w:rsidRPr="006E7D2A">
        <w:rPr>
          <w:rFonts w:ascii="Calibri" w:eastAsia="Arial" w:hAnsi="Calibri" w:cs="Calibri"/>
          <w:sz w:val="20"/>
          <w:szCs w:val="20"/>
        </w:rPr>
        <w:t>bine potențialul teritorial.</w:t>
      </w:r>
    </w:p>
    <w:p w14:paraId="76AE475E" w14:textId="77777777" w:rsidR="00B21C3A" w:rsidRPr="006E7D2A" w:rsidRDefault="00B21C3A" w:rsidP="00B21C3A">
      <w:pPr>
        <w:pStyle w:val="ListParagraph"/>
        <w:numPr>
          <w:ilvl w:val="0"/>
          <w:numId w:val="19"/>
        </w:numPr>
        <w:suppressAutoHyphens/>
        <w:spacing w:before="120" w:after="120" w:line="240" w:lineRule="auto"/>
        <w:jc w:val="both"/>
        <w:rPr>
          <w:rFonts w:ascii="Calibri" w:eastAsia="Arial" w:hAnsi="Calibri" w:cs="Calibri"/>
          <w:sz w:val="20"/>
          <w:szCs w:val="20"/>
        </w:rPr>
      </w:pPr>
      <w:r w:rsidRPr="006E7D2A">
        <w:rPr>
          <w:rFonts w:ascii="Calibri" w:eastAsia="Arial" w:hAnsi="Calibri" w:cs="Calibri"/>
          <w:sz w:val="20"/>
          <w:szCs w:val="20"/>
        </w:rPr>
        <w:t>Se recomandă sprijinirea dezvoltării capacității solicitanților de finanțare și a beneficiarilor în dezvoltarea și implementarea proiectelor, cu precădere, dar nu exclusiv, a beneficiarilor din orașele mici și mediul rural. Sprijinul va avea în vedere:</w:t>
      </w:r>
    </w:p>
    <w:p w14:paraId="16F4E447" w14:textId="77777777" w:rsidR="00B21C3A" w:rsidRPr="006E7D2A" w:rsidRDefault="00B21C3A" w:rsidP="00B21C3A">
      <w:pPr>
        <w:pStyle w:val="ListParagraph"/>
        <w:numPr>
          <w:ilvl w:val="1"/>
          <w:numId w:val="19"/>
        </w:numPr>
        <w:suppressAutoHyphens/>
        <w:spacing w:before="120" w:after="120" w:line="240" w:lineRule="auto"/>
        <w:jc w:val="both"/>
        <w:rPr>
          <w:rFonts w:ascii="Calibri" w:hAnsi="Calibri" w:cs="Calibri"/>
          <w:sz w:val="20"/>
          <w:szCs w:val="20"/>
        </w:rPr>
      </w:pPr>
      <w:r w:rsidRPr="006E7D2A">
        <w:rPr>
          <w:rFonts w:ascii="Calibri" w:hAnsi="Calibri" w:cs="Calibri"/>
          <w:sz w:val="20"/>
          <w:szCs w:val="20"/>
        </w:rPr>
        <w:t>Îndrumarea beneficiarilor pentru utilizarea optimă a oportunității de finanțare a dezvoltării competențelor, integrată în proiecte de investiții, prin recomandări privind cele mai eficiente moduri de învățare, dar și instituționalizarea învățării și facilitarea transferului de cunoaștere între beneficiari.</w:t>
      </w:r>
    </w:p>
    <w:p w14:paraId="4BE62679" w14:textId="77777777" w:rsidR="00B21C3A" w:rsidRPr="006E7D2A" w:rsidRDefault="00B21C3A" w:rsidP="00B21C3A">
      <w:pPr>
        <w:pStyle w:val="ListParagraph"/>
        <w:numPr>
          <w:ilvl w:val="1"/>
          <w:numId w:val="19"/>
        </w:numPr>
        <w:suppressAutoHyphens/>
        <w:spacing w:before="120" w:after="120" w:line="240" w:lineRule="auto"/>
        <w:jc w:val="both"/>
        <w:rPr>
          <w:rFonts w:ascii="Calibri" w:hAnsi="Calibri" w:cs="Calibri"/>
          <w:sz w:val="20"/>
          <w:szCs w:val="20"/>
        </w:rPr>
      </w:pPr>
      <w:r w:rsidRPr="006E7D2A">
        <w:rPr>
          <w:rFonts w:ascii="Calibri" w:hAnsi="Calibri" w:cs="Calibri"/>
          <w:sz w:val="20"/>
          <w:szCs w:val="20"/>
        </w:rPr>
        <w:t>Îndrumarea beneficiarilor privind utilizarea finanțării încrucișate, a cheltuielilor de tip FSE, importante pentru operaționalizarea infrastructurilor sprijinite și calitatea serviciilor aferente oferite cetățenilor.</w:t>
      </w:r>
    </w:p>
    <w:p w14:paraId="575ED004" w14:textId="46363DC3" w:rsidR="00B21C3A" w:rsidRPr="006E7D2A" w:rsidRDefault="004105EA" w:rsidP="00B21C3A">
      <w:pPr>
        <w:pStyle w:val="ListParagraph"/>
        <w:numPr>
          <w:ilvl w:val="0"/>
          <w:numId w:val="19"/>
        </w:numPr>
        <w:suppressAutoHyphens/>
        <w:spacing w:before="120" w:after="120" w:line="240" w:lineRule="auto"/>
        <w:jc w:val="both"/>
        <w:rPr>
          <w:rFonts w:ascii="Calibri" w:hAnsi="Calibri" w:cs="Calibri"/>
          <w:color w:val="000000" w:themeColor="text1"/>
          <w:sz w:val="20"/>
          <w:szCs w:val="20"/>
        </w:rPr>
      </w:pPr>
      <w:r w:rsidRPr="006E7D2A">
        <w:rPr>
          <w:rFonts w:ascii="Calibri" w:hAnsi="Calibri" w:cs="Calibri"/>
          <w:color w:val="000000" w:themeColor="text1"/>
          <w:sz w:val="20"/>
          <w:szCs w:val="20"/>
        </w:rPr>
        <w:t xml:space="preserve">Continuarea simplificării pe baza </w:t>
      </w:r>
      <w:r w:rsidR="00451F31" w:rsidRPr="006E7D2A">
        <w:rPr>
          <w:rFonts w:ascii="Calibri" w:hAnsi="Calibri" w:cs="Calibri"/>
          <w:color w:val="000000" w:themeColor="text1"/>
          <w:sz w:val="20"/>
          <w:szCs w:val="20"/>
        </w:rPr>
        <w:t xml:space="preserve">experienței din teritoriul ITI DD. </w:t>
      </w:r>
      <w:r w:rsidR="00B21C3A" w:rsidRPr="006E7D2A">
        <w:rPr>
          <w:rFonts w:ascii="Calibri" w:hAnsi="Calibri" w:cs="Calibri"/>
          <w:color w:val="000000" w:themeColor="text1"/>
          <w:sz w:val="20"/>
          <w:szCs w:val="20"/>
        </w:rPr>
        <w:t>Furnizarea de informații din teritoriul ITI Delta Dună</w:t>
      </w:r>
      <w:r w:rsidR="00160637" w:rsidRPr="006E7D2A">
        <w:rPr>
          <w:rFonts w:ascii="Calibri" w:hAnsi="Calibri" w:cs="Calibri"/>
          <w:color w:val="000000" w:themeColor="text1"/>
          <w:sz w:val="20"/>
          <w:szCs w:val="20"/>
        </w:rPr>
        <w:t>r</w:t>
      </w:r>
      <w:r w:rsidR="00B21C3A" w:rsidRPr="006E7D2A">
        <w:rPr>
          <w:rFonts w:ascii="Calibri" w:hAnsi="Calibri" w:cs="Calibri"/>
          <w:color w:val="000000" w:themeColor="text1"/>
          <w:sz w:val="20"/>
          <w:szCs w:val="20"/>
        </w:rPr>
        <w:t>ii privind nevoia de simplificare, eficacitatea măsurilor de simplificare actuale și deficiențe, inclusiv privind MYSMIS, opțiuni de costuri simplificate, redundanțe în transmiterea de informații prin cererea de finanțare, raportare.</w:t>
      </w:r>
    </w:p>
    <w:p w14:paraId="6B5EFE0B" w14:textId="7DCFE85C" w:rsidR="00B21C3A" w:rsidRPr="006E7D2A" w:rsidRDefault="00CD2B28" w:rsidP="00B21C3A">
      <w:pPr>
        <w:pStyle w:val="ListParagraph"/>
        <w:numPr>
          <w:ilvl w:val="0"/>
          <w:numId w:val="19"/>
        </w:numPr>
        <w:suppressAutoHyphens/>
        <w:spacing w:before="120" w:after="120" w:line="240" w:lineRule="auto"/>
        <w:jc w:val="both"/>
        <w:rPr>
          <w:rFonts w:ascii="Calibri" w:hAnsi="Calibri" w:cs="Calibri"/>
          <w:sz w:val="20"/>
          <w:szCs w:val="20"/>
        </w:rPr>
      </w:pPr>
      <w:r w:rsidRPr="006E7D2A">
        <w:rPr>
          <w:rFonts w:ascii="Calibri" w:eastAsia="Arial" w:hAnsi="Calibri" w:cs="Calibri"/>
          <w:sz w:val="20"/>
          <w:szCs w:val="20"/>
        </w:rPr>
        <w:t>Motivarea b</w:t>
      </w:r>
      <w:r w:rsidR="00A21FDB" w:rsidRPr="006E7D2A">
        <w:rPr>
          <w:rFonts w:ascii="Calibri" w:eastAsia="Arial" w:hAnsi="Calibri" w:cs="Calibri"/>
          <w:sz w:val="20"/>
          <w:szCs w:val="20"/>
        </w:rPr>
        <w:t xml:space="preserve">eneficiarilor pentru respectarea graficelor de implementare. </w:t>
      </w:r>
      <w:r w:rsidR="00B21C3A" w:rsidRPr="006E7D2A">
        <w:rPr>
          <w:rFonts w:ascii="Calibri" w:eastAsia="Arial" w:hAnsi="Calibri" w:cs="Calibri"/>
          <w:sz w:val="20"/>
          <w:szCs w:val="20"/>
        </w:rPr>
        <w:t>Introducerea de clauze contractuale stricte care să asigure respectarea graficelor de implementare,</w:t>
      </w:r>
      <w:r w:rsidR="00B21C3A" w:rsidRPr="006E7D2A">
        <w:rPr>
          <w:rFonts w:ascii="Calibri" w:hAnsi="Calibri" w:cs="Calibri"/>
          <w:sz w:val="20"/>
          <w:szCs w:val="20"/>
        </w:rPr>
        <w:t xml:space="preserve"> inclusiv termene pentru lansarea achizițiilor publice și aplicarea de penalități în cazul întârzierilor nejustificate.</w:t>
      </w:r>
    </w:p>
    <w:bookmarkEnd w:id="0"/>
    <w:p w14:paraId="014CE37D" w14:textId="1E67B81F" w:rsidR="00BA0BEC" w:rsidRPr="006E7D2A" w:rsidRDefault="00BA0BEC" w:rsidP="00E55840">
      <w:pPr>
        <w:spacing w:line="240" w:lineRule="auto"/>
        <w:jc w:val="both"/>
        <w:rPr>
          <w:rFonts w:ascii="Calibri" w:hAnsi="Calibri" w:cs="Calibri"/>
          <w:sz w:val="20"/>
          <w:szCs w:val="20"/>
        </w:rPr>
      </w:pPr>
      <w:r w:rsidRPr="006E7D2A">
        <w:rPr>
          <w:rFonts w:ascii="Calibri" w:hAnsi="Calibri" w:cs="Calibri"/>
          <w:sz w:val="20"/>
          <w:szCs w:val="20"/>
        </w:rPr>
        <w:t xml:space="preserve">Implementarea acestor îmbunătățiri </w:t>
      </w:r>
      <w:r w:rsidR="00DA1C33" w:rsidRPr="006E7D2A">
        <w:rPr>
          <w:rFonts w:ascii="Calibri" w:hAnsi="Calibri" w:cs="Calibri"/>
          <w:sz w:val="20"/>
          <w:szCs w:val="20"/>
        </w:rPr>
        <w:t>vor</w:t>
      </w:r>
      <w:r w:rsidRPr="006E7D2A">
        <w:rPr>
          <w:rFonts w:ascii="Calibri" w:hAnsi="Calibri" w:cs="Calibri"/>
          <w:sz w:val="20"/>
          <w:szCs w:val="20"/>
        </w:rPr>
        <w:t xml:space="preserve"> contribui la o </w:t>
      </w:r>
      <w:r w:rsidRPr="006E7D2A">
        <w:rPr>
          <w:rFonts w:ascii="Calibri" w:hAnsi="Calibri" w:cs="Calibri"/>
          <w:b/>
          <w:bCs/>
          <w:sz w:val="20"/>
          <w:szCs w:val="20"/>
        </w:rPr>
        <w:t>gestionare mai eficientă și adaptată nevoilor specifice ale ITI Delta Dunării</w:t>
      </w:r>
      <w:r w:rsidRPr="006E7D2A">
        <w:rPr>
          <w:rFonts w:ascii="Calibri" w:hAnsi="Calibri" w:cs="Calibri"/>
          <w:sz w:val="20"/>
          <w:szCs w:val="20"/>
        </w:rPr>
        <w:t>, reducând riscurile de întârzieri, creșterea calității proiectelor și maximizarea impactului investițiilor în teritoriu.</w:t>
      </w:r>
    </w:p>
    <w:p w14:paraId="3E4ADCFB" w14:textId="77777777" w:rsidR="00485CC5" w:rsidRPr="00E55840" w:rsidRDefault="00485CC5" w:rsidP="00E55840">
      <w:pPr>
        <w:spacing w:line="240" w:lineRule="auto"/>
        <w:jc w:val="both"/>
      </w:pPr>
    </w:p>
    <w:sectPr w:rsidR="00485CC5" w:rsidRPr="00E55840">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3D771D" w14:textId="77777777" w:rsidR="00E7764C" w:rsidRPr="006E7D2A" w:rsidRDefault="00E7764C" w:rsidP="00E55840">
      <w:pPr>
        <w:spacing w:after="0" w:line="240" w:lineRule="auto"/>
      </w:pPr>
      <w:r w:rsidRPr="006E7D2A">
        <w:separator/>
      </w:r>
    </w:p>
  </w:endnote>
  <w:endnote w:type="continuationSeparator" w:id="0">
    <w:p w14:paraId="39E3A20A" w14:textId="77777777" w:rsidR="00E7764C" w:rsidRPr="006E7D2A" w:rsidRDefault="00E7764C" w:rsidP="00E55840">
      <w:pPr>
        <w:spacing w:after="0" w:line="240" w:lineRule="auto"/>
      </w:pPr>
      <w:r w:rsidRPr="006E7D2A">
        <w:continuationSeparator/>
      </w:r>
    </w:p>
  </w:endnote>
  <w:endnote w:type="continuationNotice" w:id="1">
    <w:p w14:paraId="6D954085" w14:textId="77777777" w:rsidR="00E7764C" w:rsidRPr="006E7D2A" w:rsidRDefault="00E776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EYInterstate">
    <w:altName w:val="Calibri"/>
    <w:charset w:val="00"/>
    <w:family w:val="auto"/>
    <w:pitch w:val="variable"/>
    <w:sig w:usb0="8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Regu">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236F0" w14:textId="4260470F" w:rsidR="00E55840" w:rsidRPr="006E7D2A" w:rsidRDefault="00291377" w:rsidP="00291377">
    <w:pPr>
      <w:spacing w:before="120"/>
      <w:jc w:val="center"/>
      <w:rPr>
        <w:rFonts w:ascii="Calibri" w:hAnsi="Calibri" w:cs="Calibri"/>
        <w:b/>
        <w:bCs/>
        <w:color w:val="213F99"/>
        <w:sz w:val="20"/>
        <w:szCs w:val="20"/>
      </w:rPr>
    </w:pPr>
    <w:r w:rsidRPr="006E7D2A">
      <w:rPr>
        <w:rFonts w:ascii="Calibri" w:hAnsi="Calibri" w:cs="Calibri"/>
        <w:b/>
        <w:bCs/>
        <w:color w:val="213F99"/>
        <w:sz w:val="20"/>
        <w:szCs w:val="20"/>
      </w:rPr>
      <w:drawing>
        <wp:anchor distT="0" distB="0" distL="114300" distR="114300" simplePos="0" relativeHeight="251658240" behindDoc="1" locked="0" layoutInCell="1" allowOverlap="1" wp14:anchorId="27E64AD2" wp14:editId="5F5D6561">
          <wp:simplePos x="0" y="0"/>
          <wp:positionH relativeFrom="page">
            <wp:posOffset>-190500</wp:posOffset>
          </wp:positionH>
          <wp:positionV relativeFrom="paragraph">
            <wp:posOffset>-123190</wp:posOffset>
          </wp:positionV>
          <wp:extent cx="7764780" cy="123190"/>
          <wp:effectExtent l="0" t="0" r="7620" b="0"/>
          <wp:wrapTopAndBottom/>
          <wp:docPr id="1459224565"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hyperlink r:id="rId2" w:history="1">
      <w:r w:rsidRPr="006E7D2A">
        <w:rPr>
          <w:rStyle w:val="Hyperlink"/>
          <w:rFonts w:ascii="Calibri" w:hAnsi="Calibri" w:cs="Calibri"/>
          <w:b/>
          <w:bCs/>
          <w:color w:val="213F99"/>
          <w:sz w:val="20"/>
          <w:szCs w:val="20"/>
        </w:rPr>
        <w:t>RegioSE</w:t>
      </w:r>
    </w:hyperlink>
    <w:r w:rsidRPr="006E7D2A">
      <w:rPr>
        <w:rFonts w:ascii="Calibri" w:hAnsi="Calibri" w:cs="Calibri"/>
        <w:b/>
        <w:bCs/>
        <w:color w:val="213F99"/>
        <w:sz w:val="20"/>
        <w:szCs w:val="20"/>
      </w:rPr>
      <w:t xml:space="preserve">  |  </w:t>
    </w:r>
    <w:hyperlink r:id="rId3" w:history="1">
      <w:r w:rsidRPr="006E7D2A">
        <w:rPr>
          <w:rStyle w:val="Hyperlink"/>
          <w:rFonts w:ascii="Calibri" w:hAnsi="Calibri" w:cs="Calibri"/>
          <w:b/>
          <w:bCs/>
          <w:color w:val="213F99"/>
          <w:sz w:val="20"/>
          <w:szCs w:val="20"/>
        </w:rPr>
        <w:t>https://www.facebook.com/adrse.ro</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A2038" w14:textId="77777777" w:rsidR="00E7764C" w:rsidRPr="006E7D2A" w:rsidRDefault="00E7764C" w:rsidP="00E55840">
      <w:pPr>
        <w:spacing w:after="0" w:line="240" w:lineRule="auto"/>
      </w:pPr>
      <w:r w:rsidRPr="006E7D2A">
        <w:separator/>
      </w:r>
    </w:p>
  </w:footnote>
  <w:footnote w:type="continuationSeparator" w:id="0">
    <w:p w14:paraId="02AC67BD" w14:textId="77777777" w:rsidR="00E7764C" w:rsidRPr="006E7D2A" w:rsidRDefault="00E7764C" w:rsidP="00E55840">
      <w:pPr>
        <w:spacing w:after="0" w:line="240" w:lineRule="auto"/>
      </w:pPr>
      <w:r w:rsidRPr="006E7D2A">
        <w:continuationSeparator/>
      </w:r>
    </w:p>
  </w:footnote>
  <w:footnote w:type="continuationNotice" w:id="1">
    <w:p w14:paraId="489BC786" w14:textId="77777777" w:rsidR="00E7764C" w:rsidRPr="006E7D2A" w:rsidRDefault="00E776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34C46" w14:textId="77777777" w:rsidR="00C06981" w:rsidRPr="006E7D2A" w:rsidRDefault="00C06981" w:rsidP="00C06981">
    <w:pPr>
      <w:pStyle w:val="Header"/>
      <w:tabs>
        <w:tab w:val="left" w:pos="4002"/>
        <w:tab w:val="left" w:pos="4601"/>
      </w:tabs>
    </w:pPr>
    <w:r w:rsidRPr="006E7D2A">
      <w:rPr>
        <w:rFonts w:eastAsia="MS Mincho" w:cs="Arial"/>
        <w:b/>
        <w:color w:val="232323"/>
      </w:rPr>
      <w:drawing>
        <wp:anchor distT="0" distB="0" distL="0" distR="0" simplePos="0" relativeHeight="251658242" behindDoc="1" locked="0" layoutInCell="1" allowOverlap="1" wp14:anchorId="5A81F763" wp14:editId="46FC88A0">
          <wp:simplePos x="0" y="0"/>
          <wp:positionH relativeFrom="page">
            <wp:posOffset>3743325</wp:posOffset>
          </wp:positionH>
          <wp:positionV relativeFrom="paragraph">
            <wp:posOffset>-152400</wp:posOffset>
          </wp:positionV>
          <wp:extent cx="533400" cy="485140"/>
          <wp:effectExtent l="0" t="0" r="0" b="0"/>
          <wp:wrapNone/>
          <wp:docPr id="36625783" name="Image 826" descr="A blue and white logo with a bird and a crow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6" name="Image 826" descr="A blue and white logo with a bird and a crown&#10;&#10;Description automatically generated"/>
                  <pic:cNvPicPr/>
                </pic:nvPicPr>
                <pic:blipFill>
                  <a:blip r:embed="rId1" cstate="print"/>
                  <a:stretch>
                    <a:fillRect/>
                  </a:stretch>
                </pic:blipFill>
                <pic:spPr>
                  <a:xfrm>
                    <a:off x="0" y="0"/>
                    <a:ext cx="533400" cy="485140"/>
                  </a:xfrm>
                  <a:prstGeom prst="rect">
                    <a:avLst/>
                  </a:prstGeom>
                </pic:spPr>
              </pic:pic>
            </a:graphicData>
          </a:graphic>
          <wp14:sizeRelH relativeFrom="margin">
            <wp14:pctWidth>0</wp14:pctWidth>
          </wp14:sizeRelH>
          <wp14:sizeRelV relativeFrom="margin">
            <wp14:pctHeight>0</wp14:pctHeight>
          </wp14:sizeRelV>
        </wp:anchor>
      </w:drawing>
    </w:r>
    <w:r w:rsidRPr="006E7D2A">
      <w:drawing>
        <wp:anchor distT="0" distB="0" distL="114300" distR="114300" simplePos="0" relativeHeight="251658243" behindDoc="1" locked="0" layoutInCell="1" allowOverlap="1" wp14:anchorId="61123F09" wp14:editId="14091F1A">
          <wp:simplePos x="0" y="0"/>
          <wp:positionH relativeFrom="column">
            <wp:posOffset>5372100</wp:posOffset>
          </wp:positionH>
          <wp:positionV relativeFrom="paragraph">
            <wp:posOffset>-333375</wp:posOffset>
          </wp:positionV>
          <wp:extent cx="792480" cy="762000"/>
          <wp:effectExtent l="0" t="0" r="0" b="0"/>
          <wp:wrapNone/>
          <wp:docPr id="1215585661" name="Picture 7" descr="A colorful text on a black background&#10;&#10;Description automatically generated">
            <a:extLst xmlns:a="http://schemas.openxmlformats.org/drawingml/2006/main">
              <a:ext uri="{FF2B5EF4-FFF2-40B4-BE49-F238E27FC236}">
                <a16:creationId xmlns:a16="http://schemas.microsoft.com/office/drawing/2014/main" id="{48D29F41-CE07-12F9-6682-5B0F9901D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colorful text on a black background&#10;&#10;Description automatically generated">
                    <a:extLst>
                      <a:ext uri="{FF2B5EF4-FFF2-40B4-BE49-F238E27FC236}">
                        <a16:creationId xmlns:a16="http://schemas.microsoft.com/office/drawing/2014/main" id="{48D29F41-CE07-12F9-6682-5B0F9901DA67}"/>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92480" cy="762000"/>
                  </a:xfrm>
                  <a:prstGeom prst="rect">
                    <a:avLst/>
                  </a:prstGeom>
                </pic:spPr>
              </pic:pic>
            </a:graphicData>
          </a:graphic>
          <wp14:sizeRelV relativeFrom="margin">
            <wp14:pctHeight>0</wp14:pctHeight>
          </wp14:sizeRelV>
        </wp:anchor>
      </w:drawing>
    </w:r>
    <w:r w:rsidRPr="006E7D2A">
      <w:drawing>
        <wp:anchor distT="0" distB="0" distL="114300" distR="114300" simplePos="0" relativeHeight="251658241" behindDoc="1" locked="0" layoutInCell="1" allowOverlap="1" wp14:anchorId="3CFAF253" wp14:editId="022F37BE">
          <wp:simplePos x="0" y="0"/>
          <wp:positionH relativeFrom="column">
            <wp:posOffset>-485775</wp:posOffset>
          </wp:positionH>
          <wp:positionV relativeFrom="paragraph">
            <wp:posOffset>-152400</wp:posOffset>
          </wp:positionV>
          <wp:extent cx="1889760" cy="506095"/>
          <wp:effectExtent l="0" t="0" r="0" b="8255"/>
          <wp:wrapNone/>
          <wp:docPr id="91311483" name="Picture 1" descr="A black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980289" name="Picture 1" descr="A black and blue sign with blue text&#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89760" cy="506095"/>
                  </a:xfrm>
                  <a:prstGeom prst="rect">
                    <a:avLst/>
                  </a:prstGeom>
                  <a:noFill/>
                </pic:spPr>
              </pic:pic>
            </a:graphicData>
          </a:graphic>
        </wp:anchor>
      </w:drawing>
    </w:r>
    <w:r w:rsidRPr="006E7D2A">
      <w:tab/>
    </w:r>
    <w:r w:rsidRPr="006E7D2A">
      <w:tab/>
    </w:r>
  </w:p>
  <w:p w14:paraId="790DA091" w14:textId="6CBFA2AC" w:rsidR="003E46E0" w:rsidRPr="006E7D2A" w:rsidRDefault="003E46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33805"/>
    <w:multiLevelType w:val="hybridMultilevel"/>
    <w:tmpl w:val="8BDAD346"/>
    <w:lvl w:ilvl="0" w:tplc="D2127B92">
      <w:start w:val="1"/>
      <w:numFmt w:val="bullet"/>
      <w:pStyle w:val="EYBulletedtext1"/>
      <w:lvlText w:val="•"/>
      <w:lvlJc w:val="left"/>
      <w:pPr>
        <w:ind w:left="360" w:hanging="360"/>
      </w:pPr>
      <w:rPr>
        <w:rFonts w:ascii="EYInterstate" w:hAnsi="EYInterstate" w:hint="default"/>
        <w:color w:val="92D05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C1736C"/>
    <w:multiLevelType w:val="hybridMultilevel"/>
    <w:tmpl w:val="6FD01712"/>
    <w:lvl w:ilvl="0" w:tplc="BE2891EE">
      <w:start w:val="1"/>
      <w:numFmt w:val="decimal"/>
      <w:pStyle w:val="Heading6"/>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B7C0E"/>
    <w:multiLevelType w:val="multilevel"/>
    <w:tmpl w:val="3DB48B94"/>
    <w:name w:val="list-number-color-table2"/>
    <w:lvl w:ilvl="0">
      <w:start w:val="1"/>
      <w:numFmt w:val="decimal"/>
      <w:lvlRestart w:val="0"/>
      <w:pStyle w:val="list-bullet-color-table"/>
      <w:lvlText w:val="%1."/>
      <w:lvlJc w:val="left"/>
      <w:pPr>
        <w:ind w:left="284" w:hanging="284"/>
      </w:pPr>
      <w:rPr>
        <w:rFonts w:ascii="Arial" w:hAnsi="Arial" w:cs="Arial"/>
        <w:b w:val="0"/>
        <w:i w:val="0"/>
        <w:color w:val="006DB6"/>
        <w:sz w:val="16"/>
      </w:rPr>
    </w:lvl>
    <w:lvl w:ilvl="1">
      <w:start w:val="1"/>
      <w:numFmt w:val="lowerLetter"/>
      <w:lvlText w:val="%2."/>
      <w:lvlJc w:val="left"/>
      <w:pPr>
        <w:ind w:left="568" w:hanging="284"/>
      </w:pPr>
      <w:rPr>
        <w:rFonts w:ascii="Arial" w:hAnsi="Arial" w:cs="Arial"/>
        <w:b w:val="0"/>
        <w:i w:val="0"/>
        <w:color w:val="006DB6"/>
        <w:sz w:val="16"/>
      </w:rPr>
    </w:lvl>
    <w:lvl w:ilvl="2">
      <w:start w:val="1"/>
      <w:numFmt w:val="bullet"/>
      <w:lvlText w:val=""/>
      <w:lvlJc w:val="left"/>
      <w:pPr>
        <w:ind w:left="852" w:hanging="284"/>
      </w:pPr>
      <w:rPr>
        <w:rFonts w:ascii="Symbol" w:hAnsi="Symbol" w:hint="default"/>
        <w:color w:val="006DB6"/>
        <w:sz w:val="16"/>
      </w:rPr>
    </w:lvl>
    <w:lvl w:ilvl="3">
      <w:start w:val="1"/>
      <w:numFmt w:val="bullet"/>
      <w:lvlText w:val="-"/>
      <w:lvlJc w:val="left"/>
      <w:pPr>
        <w:ind w:left="1136" w:hanging="284"/>
      </w:pPr>
      <w:rPr>
        <w:rFonts w:ascii="Arial" w:hAnsi="Arial" w:cs="Arial"/>
        <w:color w:val="006DB6"/>
        <w:sz w:val="16"/>
      </w:rPr>
    </w:lvl>
    <w:lvl w:ilvl="4">
      <w:start w:val="1"/>
      <w:numFmt w:val="bullet"/>
      <w:lvlText w:val=""/>
      <w:lvlJc w:val="left"/>
      <w:pPr>
        <w:ind w:left="1420" w:hanging="284"/>
      </w:pPr>
      <w:rPr>
        <w:rFonts w:ascii="Symbol" w:hAnsi="Symbol" w:hint="default"/>
        <w:color w:val="006DB6"/>
        <w:sz w:val="16"/>
      </w:rPr>
    </w:lvl>
    <w:lvl w:ilvl="5">
      <w:start w:val="1"/>
      <w:numFmt w:val="bullet"/>
      <w:lvlText w:val="-"/>
      <w:lvlJc w:val="left"/>
      <w:pPr>
        <w:ind w:left="1704" w:hanging="284"/>
      </w:pPr>
      <w:rPr>
        <w:rFonts w:ascii="Arial" w:hAnsi="Arial" w:cs="Arial"/>
        <w:color w:val="006DB6"/>
        <w:sz w:val="16"/>
      </w:rPr>
    </w:lvl>
    <w:lvl w:ilvl="6">
      <w:start w:val="1"/>
      <w:numFmt w:val="bullet"/>
      <w:lvlText w:val=""/>
      <w:lvlJc w:val="left"/>
      <w:pPr>
        <w:ind w:left="1988" w:hanging="284"/>
      </w:pPr>
      <w:rPr>
        <w:rFonts w:ascii="Symbol" w:hAnsi="Symbol" w:hint="default"/>
        <w:color w:val="006DB6"/>
        <w:sz w:val="16"/>
      </w:rPr>
    </w:lvl>
    <w:lvl w:ilvl="7">
      <w:start w:val="1"/>
      <w:numFmt w:val="bullet"/>
      <w:lvlText w:val="-"/>
      <w:lvlJc w:val="left"/>
      <w:pPr>
        <w:ind w:left="2272" w:hanging="284"/>
      </w:pPr>
      <w:rPr>
        <w:rFonts w:ascii="Arial" w:hAnsi="Arial" w:cs="Arial"/>
        <w:color w:val="006DB6"/>
        <w:sz w:val="16"/>
      </w:rPr>
    </w:lvl>
    <w:lvl w:ilvl="8">
      <w:start w:val="1"/>
      <w:numFmt w:val="bullet"/>
      <w:lvlText w:val=""/>
      <w:lvlJc w:val="left"/>
      <w:pPr>
        <w:ind w:left="2556" w:hanging="284"/>
      </w:pPr>
      <w:rPr>
        <w:rFonts w:ascii="Symbol" w:hAnsi="Symbol" w:hint="default"/>
        <w:color w:val="006DB6"/>
        <w:sz w:val="16"/>
      </w:rPr>
    </w:lvl>
  </w:abstractNum>
  <w:abstractNum w:abstractNumId="3" w15:restartNumberingAfterBreak="0">
    <w:nsid w:val="0E23181F"/>
    <w:multiLevelType w:val="hybridMultilevel"/>
    <w:tmpl w:val="BEBCBDE2"/>
    <w:lvl w:ilvl="0" w:tplc="41FA8FC0">
      <w:start w:val="1"/>
      <w:numFmt w:val="bullet"/>
      <w:pStyle w:val="Figureno"/>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B74CD4"/>
    <w:multiLevelType w:val="multilevel"/>
    <w:tmpl w:val="77C2D922"/>
    <w:name w:val="list-bullet-black-table2"/>
    <w:lvl w:ilvl="0">
      <w:start w:val="1"/>
      <w:numFmt w:val="bullet"/>
      <w:lvlRestart w:val="0"/>
      <w:pStyle w:val="list-number-color"/>
      <w:lvlText w:val=""/>
      <w:lvlJc w:val="left"/>
      <w:pPr>
        <w:ind w:left="284" w:hanging="284"/>
      </w:pPr>
      <w:rPr>
        <w:rFonts w:ascii="Symbol" w:hAnsi="Symbol" w:hint="default"/>
        <w:color w:val="000000" w:themeColor="text1"/>
        <w:sz w:val="16"/>
      </w:rPr>
    </w:lvl>
    <w:lvl w:ilvl="1">
      <w:start w:val="1"/>
      <w:numFmt w:val="bullet"/>
      <w:lvlText w:val="-"/>
      <w:lvlJc w:val="left"/>
      <w:pPr>
        <w:ind w:left="568" w:hanging="284"/>
      </w:pPr>
      <w:rPr>
        <w:rFonts w:ascii="Arial" w:hAnsi="Arial" w:cs="Arial"/>
        <w:color w:val="000000" w:themeColor="text1"/>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5" w15:restartNumberingAfterBreak="0">
    <w:nsid w:val="134147B8"/>
    <w:multiLevelType w:val="hybridMultilevel"/>
    <w:tmpl w:val="2362E73C"/>
    <w:lvl w:ilvl="0" w:tplc="A66C2BB0">
      <w:start w:val="1"/>
      <w:numFmt w:val="decimal"/>
      <w:lvlText w:val="%1."/>
      <w:lvlJc w:val="left"/>
      <w:pPr>
        <w:ind w:left="360" w:hanging="360"/>
      </w:pPr>
      <w:rPr>
        <w:rFonts w:hint="default"/>
        <w:b w:val="0"/>
        <w:color w:val="000000" w:themeColor="text1"/>
        <w:sz w:val="20"/>
        <w:szCs w:val="2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17DF7F4D"/>
    <w:multiLevelType w:val="hybridMultilevel"/>
    <w:tmpl w:val="05B2E76C"/>
    <w:lvl w:ilvl="0" w:tplc="A19A2738">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7A073E"/>
    <w:multiLevelType w:val="multilevel"/>
    <w:tmpl w:val="B18CE1CE"/>
    <w:lvl w:ilvl="0">
      <w:start w:val="1"/>
      <w:numFmt w:val="decimal"/>
      <w:lvlText w:val="%1."/>
      <w:lvlJc w:val="left"/>
      <w:rPr>
        <w:rFonts w:ascii="Calibri" w:hAnsi="Calibri" w:cs="Calibri" w:hint="default"/>
        <w:b/>
        <w:bCs/>
        <w:i w:val="0"/>
        <w:iCs w:val="0"/>
        <w:caps w:val="0"/>
        <w:smallCaps w:val="0"/>
        <w:strike w:val="0"/>
        <w:dstrike w:val="0"/>
        <w:noProof w:val="0"/>
        <w:vanish w:val="0"/>
        <w:color w:val="156082" w:themeColor="accent1"/>
        <w:spacing w:val="0"/>
        <w:kern w:val="0"/>
        <w:position w:val="0"/>
        <w:sz w:val="20"/>
        <w:szCs w:val="20"/>
        <w:u w:val="none"/>
        <w:effect w:val="none"/>
        <w:vertAlign w:val="baseline"/>
        <w:em w:val="none"/>
        <w:specVanish w:val="0"/>
      </w:rPr>
    </w:lvl>
    <w:lvl w:ilvl="1">
      <w:start w:val="1"/>
      <w:numFmt w:val="decimal"/>
      <w:isLgl/>
      <w:lvlText w:val="%1.%2."/>
      <w:lvlJc w:val="left"/>
      <w:pPr>
        <w:ind w:left="1077" w:hanging="360"/>
      </w:pPr>
      <w:rPr>
        <w:rFonts w:hint="default"/>
      </w:r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8" w15:restartNumberingAfterBreak="0">
    <w:nsid w:val="1E781D1E"/>
    <w:multiLevelType w:val="multilevel"/>
    <w:tmpl w:val="62C6A08E"/>
    <w:lvl w:ilvl="0">
      <w:start w:val="1"/>
      <w:numFmt w:val="bullet"/>
      <w:lvlText w:val=""/>
      <w:lvlJc w:val="left"/>
      <w:rPr>
        <w:rFonts w:ascii="Symbol" w:hAnsi="Symbol" w:hint="default"/>
        <w:b/>
        <w:bCs/>
        <w:i w:val="0"/>
        <w:iCs w:val="0"/>
        <w:caps w:val="0"/>
        <w:smallCaps w:val="0"/>
        <w:strike w:val="0"/>
        <w:dstrike w:val="0"/>
        <w:noProof w:val="0"/>
        <w:vanish w:val="0"/>
        <w:color w:val="156082" w:themeColor="accent1"/>
        <w:spacing w:val="0"/>
        <w:kern w:val="0"/>
        <w:position w:val="0"/>
        <w:u w:val="none"/>
        <w:effect w:val="none"/>
        <w:vertAlign w:val="baseline"/>
        <w:em w:val="none"/>
        <w:specVanish w:val="0"/>
      </w:rPr>
    </w:lvl>
    <w:lvl w:ilvl="1">
      <w:start w:val="1"/>
      <w:numFmt w:val="decimal"/>
      <w:lvlText w:val="%1.%2."/>
      <w:lvlJc w:val="left"/>
      <w:pPr>
        <w:ind w:left="1077" w:hanging="360"/>
      </w:pPr>
    </w:lvl>
    <w:lvl w:ilvl="2">
      <w:start w:val="1"/>
      <w:numFmt w:val="decimal"/>
      <w:lvlText w:val="%1.%2.%3."/>
      <w:lvlJc w:val="left"/>
      <w:pPr>
        <w:ind w:left="2154" w:hanging="720"/>
      </w:pPr>
    </w:lvl>
    <w:lvl w:ilvl="3">
      <w:start w:val="1"/>
      <w:numFmt w:val="decimal"/>
      <w:lvlText w:val="%1.%2.%3.%4."/>
      <w:lvlJc w:val="left"/>
      <w:pPr>
        <w:ind w:left="2871" w:hanging="720"/>
      </w:pPr>
    </w:lvl>
    <w:lvl w:ilvl="4">
      <w:start w:val="1"/>
      <w:numFmt w:val="decimal"/>
      <w:lvlText w:val="%1.%2.%3.%4.%5."/>
      <w:lvlJc w:val="left"/>
      <w:pPr>
        <w:ind w:left="3948" w:hanging="1080"/>
      </w:pPr>
    </w:lvl>
    <w:lvl w:ilvl="5">
      <w:start w:val="1"/>
      <w:numFmt w:val="decimal"/>
      <w:lvlText w:val="%1.%2.%3.%4.%5.%6."/>
      <w:lvlJc w:val="left"/>
      <w:pPr>
        <w:ind w:left="4665" w:hanging="1080"/>
      </w:pPr>
    </w:lvl>
    <w:lvl w:ilvl="6">
      <w:start w:val="1"/>
      <w:numFmt w:val="decimal"/>
      <w:lvlText w:val="%1.%2.%3.%4.%5.%6.%7."/>
      <w:lvlJc w:val="left"/>
      <w:pPr>
        <w:ind w:left="5742" w:hanging="1440"/>
      </w:pPr>
    </w:lvl>
    <w:lvl w:ilvl="7">
      <w:start w:val="1"/>
      <w:numFmt w:val="decimal"/>
      <w:lvlText w:val="%1.%2.%3.%4.%5.%6.%7.%8."/>
      <w:lvlJc w:val="left"/>
      <w:pPr>
        <w:ind w:left="6459" w:hanging="1440"/>
      </w:pPr>
    </w:lvl>
    <w:lvl w:ilvl="8">
      <w:start w:val="1"/>
      <w:numFmt w:val="decimal"/>
      <w:lvlText w:val="%1.%2.%3.%4.%5.%6.%7.%8.%9."/>
      <w:lvlJc w:val="left"/>
      <w:pPr>
        <w:ind w:left="7536" w:hanging="1800"/>
      </w:pPr>
    </w:lvl>
  </w:abstractNum>
  <w:abstractNum w:abstractNumId="9" w15:restartNumberingAfterBreak="0">
    <w:nsid w:val="202030E0"/>
    <w:multiLevelType w:val="hybridMultilevel"/>
    <w:tmpl w:val="92CAB8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CCD3A11"/>
    <w:multiLevelType w:val="multilevel"/>
    <w:tmpl w:val="B9AA27D0"/>
    <w:lvl w:ilvl="0">
      <w:start w:val="1"/>
      <w:numFmt w:val="bullet"/>
      <w:lvlText w:val="●"/>
      <w:lvlJc w:val="left"/>
      <w:pPr>
        <w:ind w:left="720" w:hanging="360"/>
      </w:pPr>
      <w:rPr>
        <w:rFonts w:ascii="Noto Sans Symbols" w:eastAsia="Noto Sans Symbols" w:hAnsi="Noto Sans Symbols" w:cs="Noto Sans Symbols"/>
      </w:rPr>
    </w:lvl>
    <w:lvl w:ilvl="1">
      <w:start w:val="1"/>
      <w:numFmt w:val="bullet"/>
      <w:pStyle w:val="Hdg2"/>
      <w:lvlText w:val="o"/>
      <w:lvlJc w:val="left"/>
      <w:pPr>
        <w:ind w:left="1440" w:hanging="360"/>
      </w:pPr>
      <w:rPr>
        <w:rFonts w:ascii="Courier New" w:eastAsia="Courier New" w:hAnsi="Courier New" w:cs="Courier New"/>
      </w:rPr>
    </w:lvl>
    <w:lvl w:ilvl="2">
      <w:start w:val="1"/>
      <w:numFmt w:val="bullet"/>
      <w:pStyle w:val="NumberedParas"/>
      <w:lvlText w:val="▪"/>
      <w:lvlJc w:val="left"/>
      <w:pPr>
        <w:ind w:left="2160" w:hanging="360"/>
      </w:pPr>
      <w:rPr>
        <w:rFonts w:ascii="Noto Sans Symbols" w:eastAsia="Noto Sans Symbols" w:hAnsi="Noto Sans Symbols" w:cs="Noto Sans Symbols"/>
      </w:rPr>
    </w:lvl>
    <w:lvl w:ilvl="3">
      <w:start w:val="1"/>
      <w:numFmt w:val="bullet"/>
      <w:pStyle w:val="Hdg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D7736C0"/>
    <w:multiLevelType w:val="hybridMultilevel"/>
    <w:tmpl w:val="A4A48FE8"/>
    <w:lvl w:ilvl="0" w:tplc="4CA49928">
      <w:start w:val="1"/>
      <w:numFmt w:val="bullet"/>
      <w:pStyle w:val="Bulletgreyhighligh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E74BE9"/>
    <w:multiLevelType w:val="multilevel"/>
    <w:tmpl w:val="BF42E0A0"/>
    <w:name w:val="list-number-black-table2"/>
    <w:lvl w:ilvl="0">
      <w:start w:val="1"/>
      <w:numFmt w:val="decimal"/>
      <w:lvlRestart w:val="0"/>
      <w:pStyle w:val="list-bullet-black-table"/>
      <w:lvlText w:val="%1."/>
      <w:lvlJc w:val="left"/>
      <w:pPr>
        <w:ind w:left="284" w:hanging="284"/>
      </w:pPr>
      <w:rPr>
        <w:rFonts w:ascii="Arial" w:hAnsi="Arial" w:cs="Arial"/>
        <w:b w:val="0"/>
        <w:i w:val="0"/>
        <w:sz w:val="16"/>
      </w:rPr>
    </w:lvl>
    <w:lvl w:ilvl="1">
      <w:start w:val="1"/>
      <w:numFmt w:val="lowerLetter"/>
      <w:lvlText w:val="%2."/>
      <w:lvlJc w:val="left"/>
      <w:pPr>
        <w:ind w:left="568" w:hanging="284"/>
      </w:pPr>
      <w:rPr>
        <w:rFonts w:ascii="Arial" w:hAnsi="Arial" w:cs="Arial"/>
        <w:b w:val="0"/>
        <w:i w:val="0"/>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13" w15:restartNumberingAfterBreak="0">
    <w:nsid w:val="51724C66"/>
    <w:multiLevelType w:val="hybridMultilevel"/>
    <w:tmpl w:val="A606C64C"/>
    <w:lvl w:ilvl="0" w:tplc="E6E4547C">
      <w:start w:val="1"/>
      <w:numFmt w:val="decimal"/>
      <w:pStyle w:val="Buletlist1"/>
      <w:lvlText w:val="%1."/>
      <w:lvlJc w:val="left"/>
      <w:pPr>
        <w:ind w:left="1077" w:hanging="360"/>
      </w:pPr>
      <w:rPr>
        <w:b/>
        <w:bCs w:val="0"/>
        <w:color w:val="006DB6"/>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4" w15:restartNumberingAfterBreak="0">
    <w:nsid w:val="55043B9A"/>
    <w:multiLevelType w:val="multilevel"/>
    <w:tmpl w:val="9782D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51545F"/>
    <w:multiLevelType w:val="multilevel"/>
    <w:tmpl w:val="0EF0493A"/>
    <w:lvl w:ilvl="0">
      <w:start w:val="1"/>
      <w:numFmt w:val="decimal"/>
      <w:pStyle w:val="list-bullet-black"/>
      <w:lvlText w:val="%1."/>
      <w:lvlJc w:val="left"/>
      <w:pPr>
        <w:ind w:left="284" w:hanging="284"/>
      </w:pPr>
      <w:rPr>
        <w:rFonts w:hint="default"/>
        <w:color w:val="006DB6"/>
      </w:rPr>
    </w:lvl>
    <w:lvl w:ilvl="1">
      <w:start w:val="1"/>
      <w:numFmt w:val="lowerLetter"/>
      <w:lvlText w:val="%2."/>
      <w:lvlJc w:val="left"/>
      <w:pPr>
        <w:ind w:left="568" w:hanging="284"/>
      </w:pPr>
      <w:rPr>
        <w:rFonts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6" w15:restartNumberingAfterBreak="0">
    <w:nsid w:val="66DF4EDB"/>
    <w:multiLevelType w:val="multilevel"/>
    <w:tmpl w:val="167007B6"/>
    <w:lvl w:ilvl="0">
      <w:start w:val="1"/>
      <w:numFmt w:val="bullet"/>
      <w:pStyle w:val="list-bullet-color"/>
      <w:lvlText w:val=""/>
      <w:lvlJc w:val="left"/>
      <w:pPr>
        <w:ind w:left="284" w:hanging="284"/>
      </w:pPr>
      <w:rPr>
        <w:rFonts w:ascii="Symbol" w:hAnsi="Symbol" w:hint="default"/>
        <w:color w:val="006DB6"/>
      </w:rPr>
    </w:lvl>
    <w:lvl w:ilvl="1">
      <w:start w:val="1"/>
      <w:numFmt w:val="bullet"/>
      <w:lvlText w:val="-"/>
      <w:lvlJc w:val="left"/>
      <w:pPr>
        <w:ind w:left="568" w:hanging="284"/>
      </w:pPr>
      <w:rPr>
        <w:rFonts w:ascii="Arial" w:hAnsi="Arial"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7" w15:restartNumberingAfterBreak="0">
    <w:nsid w:val="78E8249E"/>
    <w:multiLevelType w:val="multilevel"/>
    <w:tmpl w:val="A8A2DDC0"/>
    <w:lvl w:ilvl="0">
      <w:start w:val="1"/>
      <w:numFmt w:val="decimal"/>
      <w:pStyle w:val="list-number-black"/>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Arial" w:hAnsi="Arial" w:hint="default"/>
        <w:color w:val="000000" w:themeColor="text1"/>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Arial" w:hAnsi="Arial" w:hint="default"/>
        <w:color w:val="000000" w:themeColor="text1"/>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Arial" w:hAnsi="Arial" w:hint="default"/>
        <w:color w:val="000000" w:themeColor="text1"/>
      </w:rPr>
    </w:lvl>
    <w:lvl w:ilvl="8">
      <w:start w:val="1"/>
      <w:numFmt w:val="bullet"/>
      <w:lvlText w:val=""/>
      <w:lvlJc w:val="left"/>
      <w:pPr>
        <w:ind w:left="2556" w:hanging="284"/>
      </w:pPr>
      <w:rPr>
        <w:rFonts w:ascii="Symbol" w:hAnsi="Symbol" w:hint="default"/>
        <w:color w:val="auto"/>
      </w:rPr>
    </w:lvl>
  </w:abstractNum>
  <w:num w:numId="1" w16cid:durableId="988436026">
    <w:abstractNumId w:val="6"/>
  </w:num>
  <w:num w:numId="2" w16cid:durableId="784737593">
    <w:abstractNumId w:val="13"/>
  </w:num>
  <w:num w:numId="3" w16cid:durableId="829294425">
    <w:abstractNumId w:val="0"/>
  </w:num>
  <w:num w:numId="4" w16cid:durableId="236013215">
    <w:abstractNumId w:val="11"/>
  </w:num>
  <w:num w:numId="5" w16cid:durableId="1678995686">
    <w:abstractNumId w:val="15"/>
  </w:num>
  <w:num w:numId="6" w16cid:durableId="1140461577">
    <w:abstractNumId w:val="12"/>
  </w:num>
  <w:num w:numId="7" w16cid:durableId="2012751204">
    <w:abstractNumId w:val="16"/>
  </w:num>
  <w:num w:numId="8" w16cid:durableId="684481729">
    <w:abstractNumId w:val="2"/>
  </w:num>
  <w:num w:numId="9" w16cid:durableId="2137019864">
    <w:abstractNumId w:val="17"/>
  </w:num>
  <w:num w:numId="10" w16cid:durableId="1371029660">
    <w:abstractNumId w:val="4"/>
  </w:num>
  <w:num w:numId="11" w16cid:durableId="1566911228">
    <w:abstractNumId w:val="17"/>
  </w:num>
  <w:num w:numId="12" w16cid:durableId="1355692827">
    <w:abstractNumId w:val="1"/>
  </w:num>
  <w:num w:numId="13" w16cid:durableId="1659654662">
    <w:abstractNumId w:val="0"/>
  </w:num>
  <w:num w:numId="14" w16cid:durableId="294481869">
    <w:abstractNumId w:val="10"/>
  </w:num>
  <w:num w:numId="15" w16cid:durableId="586614242">
    <w:abstractNumId w:val="10"/>
  </w:num>
  <w:num w:numId="16" w16cid:durableId="791098444">
    <w:abstractNumId w:val="10"/>
  </w:num>
  <w:num w:numId="17" w16cid:durableId="1638949130">
    <w:abstractNumId w:val="14"/>
  </w:num>
  <w:num w:numId="18" w16cid:durableId="2096633429">
    <w:abstractNumId w:val="3"/>
  </w:num>
  <w:num w:numId="19" w16cid:durableId="677737642">
    <w:abstractNumId w:val="5"/>
  </w:num>
  <w:num w:numId="20" w16cid:durableId="1194801720">
    <w:abstractNumId w:val="7"/>
  </w:num>
  <w:num w:numId="21" w16cid:durableId="743991357">
    <w:abstractNumId w:val="8"/>
  </w:num>
  <w:num w:numId="22" w16cid:durableId="21042612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BEC"/>
    <w:rsid w:val="000007F7"/>
    <w:rsid w:val="00003505"/>
    <w:rsid w:val="00005FEB"/>
    <w:rsid w:val="00065707"/>
    <w:rsid w:val="00085B0A"/>
    <w:rsid w:val="000A72C2"/>
    <w:rsid w:val="000E693C"/>
    <w:rsid w:val="0010710C"/>
    <w:rsid w:val="00114B2E"/>
    <w:rsid w:val="0012692E"/>
    <w:rsid w:val="001279B3"/>
    <w:rsid w:val="00160637"/>
    <w:rsid w:val="0017429C"/>
    <w:rsid w:val="00180805"/>
    <w:rsid w:val="001863E9"/>
    <w:rsid w:val="001B62C1"/>
    <w:rsid w:val="001C0FE0"/>
    <w:rsid w:val="001E0B1F"/>
    <w:rsid w:val="001E677C"/>
    <w:rsid w:val="002054D6"/>
    <w:rsid w:val="00231768"/>
    <w:rsid w:val="00235589"/>
    <w:rsid w:val="00244C5C"/>
    <w:rsid w:val="002478CD"/>
    <w:rsid w:val="00263528"/>
    <w:rsid w:val="00291377"/>
    <w:rsid w:val="002B69E6"/>
    <w:rsid w:val="002C51CE"/>
    <w:rsid w:val="002D179E"/>
    <w:rsid w:val="00301370"/>
    <w:rsid w:val="003065D8"/>
    <w:rsid w:val="003265B1"/>
    <w:rsid w:val="0033672C"/>
    <w:rsid w:val="003E46E0"/>
    <w:rsid w:val="004105EA"/>
    <w:rsid w:val="00451F31"/>
    <w:rsid w:val="00485CC5"/>
    <w:rsid w:val="004876BA"/>
    <w:rsid w:val="004F089B"/>
    <w:rsid w:val="005203E3"/>
    <w:rsid w:val="005530ED"/>
    <w:rsid w:val="005712A4"/>
    <w:rsid w:val="00584900"/>
    <w:rsid w:val="00584C07"/>
    <w:rsid w:val="00592E6E"/>
    <w:rsid w:val="005A0EEC"/>
    <w:rsid w:val="005C63A4"/>
    <w:rsid w:val="00623D2D"/>
    <w:rsid w:val="00636B8B"/>
    <w:rsid w:val="0066055E"/>
    <w:rsid w:val="0067320B"/>
    <w:rsid w:val="00681257"/>
    <w:rsid w:val="006C3209"/>
    <w:rsid w:val="006C3947"/>
    <w:rsid w:val="006E2B76"/>
    <w:rsid w:val="006E7D2A"/>
    <w:rsid w:val="0072545A"/>
    <w:rsid w:val="00753497"/>
    <w:rsid w:val="00766542"/>
    <w:rsid w:val="007B06B2"/>
    <w:rsid w:val="007E092E"/>
    <w:rsid w:val="007E339C"/>
    <w:rsid w:val="008434B8"/>
    <w:rsid w:val="00844132"/>
    <w:rsid w:val="00860D7E"/>
    <w:rsid w:val="00871B3E"/>
    <w:rsid w:val="008B7E7C"/>
    <w:rsid w:val="00951664"/>
    <w:rsid w:val="009702A9"/>
    <w:rsid w:val="009B6FBA"/>
    <w:rsid w:val="00A0451E"/>
    <w:rsid w:val="00A21FDB"/>
    <w:rsid w:val="00A361EC"/>
    <w:rsid w:val="00A57CFD"/>
    <w:rsid w:val="00AB775B"/>
    <w:rsid w:val="00AF6817"/>
    <w:rsid w:val="00B21C3A"/>
    <w:rsid w:val="00B45522"/>
    <w:rsid w:val="00B64056"/>
    <w:rsid w:val="00B81982"/>
    <w:rsid w:val="00BA0BEC"/>
    <w:rsid w:val="00C06981"/>
    <w:rsid w:val="00C148FD"/>
    <w:rsid w:val="00C708D5"/>
    <w:rsid w:val="00CC72C2"/>
    <w:rsid w:val="00CD2363"/>
    <w:rsid w:val="00CD2B28"/>
    <w:rsid w:val="00CF394C"/>
    <w:rsid w:val="00D64B30"/>
    <w:rsid w:val="00DA1C33"/>
    <w:rsid w:val="00DA26AE"/>
    <w:rsid w:val="00DB268E"/>
    <w:rsid w:val="00DC50BB"/>
    <w:rsid w:val="00DF1D99"/>
    <w:rsid w:val="00E10E90"/>
    <w:rsid w:val="00E55840"/>
    <w:rsid w:val="00E7764C"/>
    <w:rsid w:val="00E803E5"/>
    <w:rsid w:val="00E84E72"/>
    <w:rsid w:val="00F87510"/>
    <w:rsid w:val="00FB42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8BFBB6"/>
  <w15:chartTrackingRefBased/>
  <w15:docId w15:val="{DE2A528E-9BA0-4EA0-8619-C8F1FDEA3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rsid w:val="00BA0B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455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4552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qFormat/>
    <w:rsid w:val="00B45522"/>
    <w:pPr>
      <w:keepNext/>
      <w:keepLines/>
      <w:spacing w:before="120" w:after="120" w:line="280" w:lineRule="atLeast"/>
      <w:outlineLvl w:val="3"/>
    </w:pPr>
    <w:rPr>
      <w:rFonts w:ascii="Arial" w:eastAsia="Times New Roman" w:hAnsi="Arial" w:cs="Times New Roman"/>
      <w:b/>
      <w:bCs/>
      <w:color w:val="006DB6"/>
      <w:kern w:val="0"/>
      <w:sz w:val="22"/>
      <w:szCs w:val="28"/>
      <w:lang w:eastAsia="nl-NL"/>
      <w14:ligatures w14:val="none"/>
    </w:rPr>
  </w:style>
  <w:style w:type="paragraph" w:styleId="Heading5">
    <w:name w:val="heading 5"/>
    <w:basedOn w:val="Normal"/>
    <w:next w:val="Normal"/>
    <w:link w:val="Heading5Char"/>
    <w:uiPriority w:val="9"/>
    <w:qFormat/>
    <w:rsid w:val="00B45522"/>
    <w:pPr>
      <w:keepNext/>
      <w:keepLines/>
      <w:spacing w:before="120" w:after="120" w:line="280" w:lineRule="atLeast"/>
      <w:outlineLvl w:val="4"/>
    </w:pPr>
    <w:rPr>
      <w:rFonts w:ascii="Arial" w:eastAsia="Times New Roman" w:hAnsi="Arial" w:cs="Times New Roman"/>
      <w:bCs/>
      <w:i/>
      <w:iCs/>
      <w:color w:val="006DB6"/>
      <w:kern w:val="0"/>
      <w:sz w:val="22"/>
      <w:szCs w:val="26"/>
      <w:lang w:eastAsia="nl-NL"/>
      <w14:ligatures w14:val="none"/>
    </w:rPr>
  </w:style>
  <w:style w:type="paragraph" w:styleId="Heading6">
    <w:name w:val="heading 6"/>
    <w:basedOn w:val="Normal"/>
    <w:next w:val="Normal"/>
    <w:link w:val="Heading6Char"/>
    <w:uiPriority w:val="9"/>
    <w:qFormat/>
    <w:rsid w:val="00B45522"/>
    <w:pPr>
      <w:keepNext/>
      <w:keepLines/>
      <w:numPr>
        <w:numId w:val="12"/>
      </w:numPr>
      <w:spacing w:before="120" w:after="120" w:line="280" w:lineRule="atLeast"/>
      <w:outlineLvl w:val="5"/>
    </w:pPr>
    <w:rPr>
      <w:rFonts w:ascii="Arial" w:eastAsia="Times New Roman" w:hAnsi="Arial" w:cs="Times New Roman"/>
      <w:bCs/>
      <w:color w:val="006DB6"/>
      <w:kern w:val="0"/>
      <w:sz w:val="18"/>
      <w:szCs w:val="22"/>
      <w:lang w:eastAsia="nl-NL"/>
      <w14:ligatures w14:val="none"/>
    </w:rPr>
  </w:style>
  <w:style w:type="paragraph" w:styleId="Heading7">
    <w:name w:val="heading 7"/>
    <w:basedOn w:val="Normal"/>
    <w:next w:val="Normal"/>
    <w:link w:val="Heading7Char"/>
    <w:uiPriority w:val="9"/>
    <w:qFormat/>
    <w:rsid w:val="00B45522"/>
    <w:pPr>
      <w:keepNext/>
      <w:keepLines/>
      <w:spacing w:before="120" w:after="120" w:line="280" w:lineRule="atLeast"/>
      <w:outlineLvl w:val="6"/>
    </w:pPr>
    <w:rPr>
      <w:rFonts w:ascii="Arial" w:eastAsia="Times New Roman" w:hAnsi="Arial" w:cs="Times New Roman"/>
      <w:color w:val="006DB6"/>
      <w:kern w:val="0"/>
      <w:sz w:val="18"/>
      <w:lang w:eastAsia="nl-NL"/>
      <w14:ligatures w14:val="none"/>
    </w:rPr>
  </w:style>
  <w:style w:type="paragraph" w:styleId="Heading8">
    <w:name w:val="heading 8"/>
    <w:basedOn w:val="Normal"/>
    <w:next w:val="Normal"/>
    <w:link w:val="Heading8Char"/>
    <w:uiPriority w:val="9"/>
    <w:qFormat/>
    <w:rsid w:val="00B45522"/>
    <w:pPr>
      <w:keepNext/>
      <w:keepLines/>
      <w:spacing w:before="120" w:after="120" w:line="280" w:lineRule="atLeast"/>
      <w:outlineLvl w:val="7"/>
    </w:pPr>
    <w:rPr>
      <w:rFonts w:ascii="Arial" w:eastAsia="Times New Roman" w:hAnsi="Arial" w:cs="Times New Roman"/>
      <w:iCs/>
      <w:color w:val="006DB6"/>
      <w:kern w:val="0"/>
      <w:sz w:val="18"/>
      <w:lang w:eastAsia="nl-NL"/>
      <w14:ligatures w14:val="none"/>
    </w:rPr>
  </w:style>
  <w:style w:type="paragraph" w:styleId="Heading9">
    <w:name w:val="heading 9"/>
    <w:basedOn w:val="Normal"/>
    <w:next w:val="Normal"/>
    <w:link w:val="Heading9Char"/>
    <w:uiPriority w:val="9"/>
    <w:qFormat/>
    <w:rsid w:val="00B45522"/>
    <w:pPr>
      <w:keepNext/>
      <w:keepLines/>
      <w:spacing w:before="120" w:after="120" w:line="280" w:lineRule="atLeast"/>
      <w:outlineLvl w:val="8"/>
    </w:pPr>
    <w:rPr>
      <w:rFonts w:ascii="Arial" w:eastAsia="Times New Roman" w:hAnsi="Arial" w:cs="Arial"/>
      <w:color w:val="006DB6"/>
      <w:kern w:val="0"/>
      <w:sz w:val="18"/>
      <w:szCs w:val="22"/>
      <w:lang w:eastAsia="nl-NL"/>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5522"/>
    <w:pPr>
      <w:spacing w:after="0" w:line="240" w:lineRule="auto"/>
    </w:pPr>
    <w:rPr>
      <w:rFonts w:ascii="Tahoma" w:hAnsi="Tahoma" w:cs="Tahoma"/>
      <w:kern w:val="0"/>
      <w:sz w:val="16"/>
      <w:szCs w:val="16"/>
      <w14:ligatures w14:val="none"/>
    </w:rPr>
  </w:style>
  <w:style w:type="character" w:customStyle="1" w:styleId="BalloonTextChar">
    <w:name w:val="Balloon Text Char"/>
    <w:basedOn w:val="DefaultParagraphFont"/>
    <w:link w:val="BalloonText"/>
    <w:uiPriority w:val="99"/>
    <w:semiHidden/>
    <w:rsid w:val="00B45522"/>
    <w:rPr>
      <w:rFonts w:ascii="Tahoma" w:hAnsi="Tahoma" w:cs="Tahoma"/>
      <w:kern w:val="0"/>
      <w:sz w:val="16"/>
      <w:szCs w:val="16"/>
      <w:lang w:val="ro-RO"/>
      <w14:ligatures w14:val="none"/>
    </w:rPr>
  </w:style>
  <w:style w:type="paragraph" w:styleId="BodyText">
    <w:name w:val="Body Text"/>
    <w:basedOn w:val="Normal"/>
    <w:link w:val="BodyTextChar"/>
    <w:rsid w:val="00B45522"/>
    <w:pPr>
      <w:autoSpaceDE w:val="0"/>
      <w:autoSpaceDN w:val="0"/>
      <w:adjustRightInd w:val="0"/>
      <w:spacing w:after="0" w:line="240" w:lineRule="auto"/>
    </w:pPr>
    <w:rPr>
      <w:rFonts w:ascii="EUAlbertina-Regu" w:eastAsia="Times New Roman" w:hAnsi="EUAlbertina-Regu" w:cs="Times New Roman"/>
      <w:kern w:val="0"/>
      <w:sz w:val="28"/>
      <w:szCs w:val="19"/>
      <w14:ligatures w14:val="none"/>
    </w:rPr>
  </w:style>
  <w:style w:type="character" w:customStyle="1" w:styleId="BodyTextChar">
    <w:name w:val="Body Text Char"/>
    <w:basedOn w:val="DefaultParagraphFont"/>
    <w:link w:val="BodyText"/>
    <w:rsid w:val="00B45522"/>
    <w:rPr>
      <w:rFonts w:ascii="EUAlbertina-Regu" w:eastAsia="Times New Roman" w:hAnsi="EUAlbertina-Regu" w:cs="Times New Roman"/>
      <w:kern w:val="0"/>
      <w:sz w:val="28"/>
      <w:szCs w:val="19"/>
      <w14:ligatures w14:val="none"/>
    </w:rPr>
  </w:style>
  <w:style w:type="paragraph" w:customStyle="1" w:styleId="BuletList10">
    <w:name w:val="Bulet List 1"/>
    <w:basedOn w:val="ListParagraph"/>
    <w:link w:val="BuletList1Char"/>
    <w:rsid w:val="00B45522"/>
    <w:pPr>
      <w:spacing w:before="240" w:after="120"/>
      <w:ind w:left="0"/>
    </w:pPr>
    <w:rPr>
      <w:rFonts w:ascii="Calibri" w:hAnsi="Calibri" w:cs="Calibri"/>
      <w:b/>
      <w:bCs/>
    </w:rPr>
  </w:style>
  <w:style w:type="character" w:customStyle="1" w:styleId="BuletList1Char">
    <w:name w:val="Bulet List 1 Char"/>
    <w:basedOn w:val="DefaultParagraphFont"/>
    <w:link w:val="BuletList10"/>
    <w:rsid w:val="00B45522"/>
    <w:rPr>
      <w:rFonts w:ascii="Calibri" w:hAnsi="Calibri" w:cs="Calibri"/>
      <w:b/>
      <w:bCs/>
      <w:kern w:val="0"/>
      <w:sz w:val="18"/>
      <w:szCs w:val="22"/>
      <w:lang w:val="ro-RO"/>
      <w14:ligatures w14:val="none"/>
    </w:rPr>
  </w:style>
  <w:style w:type="paragraph" w:styleId="ListParagraph">
    <w:name w:val="List Paragraph"/>
    <w:aliases w:val="Bullet list,List Paragraph1,Table of contents numbered,Normal bullet 2,Bullet Points,Liste Paragraf,Liststycke SKL,içindekiler vb,Sombreado multicolor - Énfasis 31,Bullet OFM,List Paragraph (numbered (a)),List Paragraph11,Dot pt,Bullet 1"/>
    <w:basedOn w:val="Normal"/>
    <w:link w:val="ListParagraphChar"/>
    <w:uiPriority w:val="34"/>
    <w:qFormat/>
    <w:rsid w:val="00B45522"/>
    <w:pPr>
      <w:spacing w:after="0" w:line="276" w:lineRule="auto"/>
      <w:ind w:left="720"/>
      <w:contextualSpacing/>
    </w:pPr>
    <w:rPr>
      <w:rFonts w:ascii="Arial" w:hAnsi="Arial"/>
      <w:kern w:val="0"/>
      <w:sz w:val="18"/>
      <w:szCs w:val="22"/>
      <w14:ligatures w14:val="none"/>
    </w:rPr>
  </w:style>
  <w:style w:type="paragraph" w:customStyle="1" w:styleId="Buletlist1">
    <w:name w:val="Bulet list 1"/>
    <w:basedOn w:val="BuletList10"/>
    <w:link w:val="Buletlist1Char0"/>
    <w:qFormat/>
    <w:rsid w:val="00B45522"/>
    <w:pPr>
      <w:numPr>
        <w:numId w:val="2"/>
      </w:numPr>
    </w:pPr>
    <w:rPr>
      <w:color w:val="006DB6"/>
    </w:rPr>
  </w:style>
  <w:style w:type="character" w:customStyle="1" w:styleId="Buletlist1Char0">
    <w:name w:val="Bulet list 1 Char"/>
    <w:basedOn w:val="BuletList1Char"/>
    <w:link w:val="Buletlist1"/>
    <w:rsid w:val="00B45522"/>
    <w:rPr>
      <w:rFonts w:ascii="Calibri" w:hAnsi="Calibri" w:cs="Calibri"/>
      <w:b/>
      <w:bCs/>
      <w:color w:val="006DB6"/>
      <w:kern w:val="0"/>
      <w:sz w:val="18"/>
      <w:szCs w:val="22"/>
      <w:lang w:val="ro-RO"/>
      <w14:ligatures w14:val="none"/>
    </w:rPr>
  </w:style>
  <w:style w:type="paragraph" w:customStyle="1" w:styleId="Bullet">
    <w:name w:val="Bullet"/>
    <w:basedOn w:val="Normal"/>
    <w:link w:val="BulletChar"/>
    <w:qFormat/>
    <w:rsid w:val="00B45522"/>
    <w:pPr>
      <w:tabs>
        <w:tab w:val="left" w:pos="270"/>
      </w:tabs>
      <w:suppressAutoHyphens/>
      <w:overflowPunct w:val="0"/>
      <w:autoSpaceDE w:val="0"/>
      <w:autoSpaceDN w:val="0"/>
      <w:adjustRightInd w:val="0"/>
      <w:spacing w:after="0" w:line="240" w:lineRule="auto"/>
      <w:ind w:left="357" w:hanging="357"/>
    </w:pPr>
    <w:rPr>
      <w:rFonts w:ascii="Arial" w:eastAsia="Times New Roman" w:hAnsi="Arial" w:cs="Arial"/>
      <w:kern w:val="12"/>
      <w:sz w:val="18"/>
      <w:lang w:val="en-GB"/>
      <w14:ligatures w14:val="none"/>
    </w:rPr>
  </w:style>
  <w:style w:type="character" w:customStyle="1" w:styleId="BulletChar">
    <w:name w:val="Bullet Char"/>
    <w:basedOn w:val="DefaultParagraphFont"/>
    <w:link w:val="Bullet"/>
    <w:locked/>
    <w:rsid w:val="00B45522"/>
    <w:rPr>
      <w:rFonts w:ascii="Arial" w:eastAsia="Times New Roman" w:hAnsi="Arial" w:cs="Arial"/>
      <w:kern w:val="12"/>
      <w:sz w:val="18"/>
      <w:lang w:val="en-GB"/>
      <w14:ligatures w14:val="none"/>
    </w:rPr>
  </w:style>
  <w:style w:type="paragraph" w:customStyle="1" w:styleId="Bulletgrey">
    <w:name w:val="Bullet grey"/>
    <w:basedOn w:val="Normal"/>
    <w:rsid w:val="00B45522"/>
    <w:pPr>
      <w:keepNext/>
      <w:widowControl w:val="0"/>
      <w:spacing w:before="120" w:after="120" w:line="276" w:lineRule="auto"/>
      <w:jc w:val="both"/>
    </w:pPr>
    <w:rPr>
      <w:rFonts w:ascii="Arial" w:hAnsi="Arial" w:cs="Arial"/>
      <w:kern w:val="0"/>
      <w:sz w:val="18"/>
      <w:szCs w:val="22"/>
      <w14:ligatures w14:val="none"/>
    </w:rPr>
  </w:style>
  <w:style w:type="paragraph" w:customStyle="1" w:styleId="Bulletgreyhighlight">
    <w:name w:val="Bullet grey highlight"/>
    <w:basedOn w:val="Normal"/>
    <w:rsid w:val="00B45522"/>
    <w:pPr>
      <w:numPr>
        <w:numId w:val="4"/>
      </w:numPr>
      <w:shd w:val="clear" w:color="auto" w:fill="F2F2F2" w:themeFill="background1" w:themeFillShade="F2"/>
      <w:spacing w:after="0" w:line="276" w:lineRule="auto"/>
      <w:jc w:val="both"/>
    </w:pPr>
    <w:rPr>
      <w:rFonts w:ascii="Arial" w:hAnsi="Arial" w:cs="Arial"/>
      <w:kern w:val="0"/>
      <w:sz w:val="18"/>
      <w:szCs w:val="22"/>
      <w:lang w:val="en-GB"/>
      <w14:ligatures w14:val="none"/>
    </w:rPr>
  </w:style>
  <w:style w:type="paragraph" w:styleId="Caption">
    <w:name w:val="caption"/>
    <w:basedOn w:val="Normal"/>
    <w:next w:val="Normal"/>
    <w:uiPriority w:val="35"/>
    <w:unhideWhenUsed/>
    <w:qFormat/>
    <w:rsid w:val="00B45522"/>
    <w:pPr>
      <w:keepNext/>
      <w:keepLines/>
      <w:spacing w:before="120" w:after="120" w:line="280" w:lineRule="atLeast"/>
      <w:ind w:left="284" w:hanging="284"/>
    </w:pPr>
    <w:rPr>
      <w:rFonts w:ascii="Arial" w:eastAsia="Times New Roman" w:hAnsi="Arial" w:cs="Times New Roman"/>
      <w:b/>
      <w:bCs/>
      <w:color w:val="006DB6"/>
      <w:kern w:val="0"/>
      <w:sz w:val="18"/>
      <w:szCs w:val="18"/>
      <w:lang w:eastAsia="nl-NL"/>
      <w14:ligatures w14:val="none"/>
    </w:rPr>
  </w:style>
  <w:style w:type="character" w:customStyle="1" w:styleId="cf01">
    <w:name w:val="cf01"/>
    <w:basedOn w:val="DefaultParagraphFont"/>
    <w:rsid w:val="00B45522"/>
    <w:rPr>
      <w:rFonts w:ascii="Segoe UI" w:hAnsi="Segoe UI" w:cs="Segoe UI" w:hint="default"/>
      <w:sz w:val="18"/>
      <w:szCs w:val="18"/>
    </w:rPr>
  </w:style>
  <w:style w:type="character" w:styleId="CommentReference">
    <w:name w:val="annotation reference"/>
    <w:basedOn w:val="DefaultParagraphFont"/>
    <w:uiPriority w:val="99"/>
    <w:semiHidden/>
    <w:unhideWhenUsed/>
    <w:rsid w:val="00B45522"/>
    <w:rPr>
      <w:sz w:val="16"/>
      <w:szCs w:val="16"/>
    </w:rPr>
  </w:style>
  <w:style w:type="paragraph" w:styleId="CommentText">
    <w:name w:val="annotation text"/>
    <w:basedOn w:val="Normal"/>
    <w:link w:val="CommentTextChar"/>
    <w:uiPriority w:val="99"/>
    <w:semiHidden/>
    <w:unhideWhenUsed/>
    <w:rsid w:val="00B45522"/>
    <w:pPr>
      <w:spacing w:line="240" w:lineRule="auto"/>
    </w:pPr>
    <w:rPr>
      <w:sz w:val="20"/>
      <w:szCs w:val="20"/>
    </w:rPr>
  </w:style>
  <w:style w:type="character" w:customStyle="1" w:styleId="CommentTextChar">
    <w:name w:val="Comment Text Char"/>
    <w:basedOn w:val="DefaultParagraphFont"/>
    <w:link w:val="CommentText"/>
    <w:uiPriority w:val="99"/>
    <w:semiHidden/>
    <w:rsid w:val="00B45522"/>
    <w:rPr>
      <w:sz w:val="20"/>
      <w:szCs w:val="20"/>
    </w:rPr>
  </w:style>
  <w:style w:type="paragraph" w:styleId="CommentSubject">
    <w:name w:val="annotation subject"/>
    <w:basedOn w:val="CommentText"/>
    <w:next w:val="CommentText"/>
    <w:link w:val="CommentSubjectChar"/>
    <w:uiPriority w:val="99"/>
    <w:semiHidden/>
    <w:unhideWhenUsed/>
    <w:rsid w:val="00B45522"/>
    <w:pPr>
      <w:spacing w:after="0"/>
    </w:pPr>
    <w:rPr>
      <w:rFonts w:ascii="Arial" w:hAnsi="Arial"/>
      <w:b/>
      <w:bCs/>
      <w:kern w:val="0"/>
      <w14:ligatures w14:val="none"/>
    </w:rPr>
  </w:style>
  <w:style w:type="character" w:customStyle="1" w:styleId="CommentSubjectChar">
    <w:name w:val="Comment Subject Char"/>
    <w:basedOn w:val="CommentTextChar"/>
    <w:link w:val="CommentSubject"/>
    <w:uiPriority w:val="99"/>
    <w:semiHidden/>
    <w:rsid w:val="00B45522"/>
    <w:rPr>
      <w:rFonts w:ascii="Arial" w:hAnsi="Arial"/>
      <w:b/>
      <w:bCs/>
      <w:kern w:val="0"/>
      <w:sz w:val="20"/>
      <w:szCs w:val="20"/>
      <w:lang w:val="ro-RO"/>
      <w14:ligatures w14:val="none"/>
    </w:rPr>
  </w:style>
  <w:style w:type="paragraph" w:customStyle="1" w:styleId="LideeaHeading2">
    <w:name w:val="Lideea Heading 2"/>
    <w:basedOn w:val="Heading2"/>
    <w:link w:val="LideeaHeading2Char"/>
    <w:qFormat/>
    <w:rsid w:val="00B45522"/>
    <w:pPr>
      <w:tabs>
        <w:tab w:val="left" w:pos="0"/>
      </w:tabs>
      <w:spacing w:before="360" w:after="280" w:line="276" w:lineRule="auto"/>
      <w:ind w:left="576"/>
      <w:jc w:val="both"/>
    </w:pPr>
    <w:rPr>
      <w:rFonts w:ascii="Arial" w:eastAsia="Times New Roman" w:hAnsi="Arial" w:cs="Arial"/>
      <w:b/>
      <w:bCs/>
      <w:iCs/>
      <w:color w:val="006DB6"/>
      <w:kern w:val="0"/>
      <w:sz w:val="22"/>
      <w:szCs w:val="28"/>
      <w:lang w:eastAsia="nl-NL"/>
      <w14:ligatures w14:val="none"/>
    </w:rPr>
  </w:style>
  <w:style w:type="character" w:customStyle="1" w:styleId="LideeaHeading2Char">
    <w:name w:val="Lideea Heading 2 Char"/>
    <w:basedOn w:val="DefaultParagraphFont"/>
    <w:link w:val="LideeaHeading2"/>
    <w:rsid w:val="00B45522"/>
    <w:rPr>
      <w:rFonts w:ascii="Arial" w:eastAsia="Times New Roman" w:hAnsi="Arial" w:cs="Arial"/>
      <w:b/>
      <w:bCs/>
      <w:iCs/>
      <w:color w:val="006DB6"/>
      <w:kern w:val="0"/>
      <w:sz w:val="22"/>
      <w:szCs w:val="28"/>
      <w:lang w:val="ro-RO" w:eastAsia="nl-NL"/>
      <w14:ligatures w14:val="none"/>
    </w:rPr>
  </w:style>
  <w:style w:type="character" w:customStyle="1" w:styleId="Heading2Char">
    <w:name w:val="Heading 2 Char"/>
    <w:basedOn w:val="DefaultParagraphFont"/>
    <w:link w:val="Heading2"/>
    <w:uiPriority w:val="9"/>
    <w:rsid w:val="00B45522"/>
    <w:rPr>
      <w:rFonts w:asciiTheme="majorHAnsi" w:eastAsiaTheme="majorEastAsia" w:hAnsiTheme="majorHAnsi" w:cstheme="majorBidi"/>
      <w:color w:val="0F4761" w:themeColor="accent1" w:themeShade="BF"/>
      <w:sz w:val="32"/>
      <w:szCs w:val="32"/>
    </w:rPr>
  </w:style>
  <w:style w:type="paragraph" w:customStyle="1" w:styleId="LideeaHeading3">
    <w:name w:val="Lideea Heading 3"/>
    <w:basedOn w:val="Heading3"/>
    <w:link w:val="LideeaHeading3Char"/>
    <w:qFormat/>
    <w:rsid w:val="00B45522"/>
    <w:pPr>
      <w:tabs>
        <w:tab w:val="left" w:pos="0"/>
      </w:tabs>
      <w:spacing w:before="120" w:after="120" w:line="200" w:lineRule="atLeast"/>
    </w:pPr>
    <w:rPr>
      <w:rFonts w:ascii="Arial" w:eastAsia="Times New Roman" w:hAnsi="Arial" w:cs="Arial"/>
      <w:b/>
      <w:bCs/>
      <w:i/>
      <w:color w:val="006DB6"/>
      <w:kern w:val="0"/>
      <w:sz w:val="22"/>
      <w:szCs w:val="26"/>
      <w:lang w:val="fr-FR" w:eastAsia="nl-NL" w:bidi="ne-NP"/>
      <w14:ligatures w14:val="none"/>
    </w:rPr>
  </w:style>
  <w:style w:type="character" w:customStyle="1" w:styleId="LideeaHeading3Char">
    <w:name w:val="Lideea Heading 3 Char"/>
    <w:basedOn w:val="DefaultParagraphFont"/>
    <w:link w:val="LideeaHeading3"/>
    <w:rsid w:val="00B45522"/>
    <w:rPr>
      <w:rFonts w:ascii="Arial" w:eastAsia="Times New Roman" w:hAnsi="Arial" w:cs="Arial"/>
      <w:b/>
      <w:bCs/>
      <w:i/>
      <w:color w:val="006DB6"/>
      <w:kern w:val="0"/>
      <w:sz w:val="22"/>
      <w:szCs w:val="26"/>
      <w:lang w:val="fr-FR" w:eastAsia="nl-NL" w:bidi="ne-NP"/>
      <w14:ligatures w14:val="none"/>
    </w:rPr>
  </w:style>
  <w:style w:type="character" w:customStyle="1" w:styleId="Heading3Char">
    <w:name w:val="Heading 3 Char"/>
    <w:basedOn w:val="DefaultParagraphFont"/>
    <w:link w:val="Heading3"/>
    <w:uiPriority w:val="9"/>
    <w:semiHidden/>
    <w:rsid w:val="00B45522"/>
    <w:rPr>
      <w:rFonts w:eastAsiaTheme="majorEastAsia" w:cstheme="majorBidi"/>
      <w:color w:val="0F4761" w:themeColor="accent1" w:themeShade="BF"/>
      <w:sz w:val="28"/>
      <w:szCs w:val="28"/>
    </w:rPr>
  </w:style>
  <w:style w:type="paragraph" w:customStyle="1" w:styleId="LideeaNormal">
    <w:name w:val="Lideea Normal"/>
    <w:basedOn w:val="Normal"/>
    <w:link w:val="LideeaNormalChar"/>
    <w:qFormat/>
    <w:rsid w:val="00B45522"/>
    <w:pPr>
      <w:spacing w:before="120" w:after="120" w:line="276" w:lineRule="auto"/>
      <w:jc w:val="both"/>
    </w:pPr>
    <w:rPr>
      <w:rFonts w:ascii="Arial" w:eastAsia="Times New Roman" w:hAnsi="Arial" w:cs="Arial"/>
      <w:kern w:val="0"/>
      <w:sz w:val="18"/>
      <w:lang w:eastAsia="nl-NL"/>
      <w14:ligatures w14:val="none"/>
    </w:rPr>
  </w:style>
  <w:style w:type="character" w:customStyle="1" w:styleId="LideeaNormalChar">
    <w:name w:val="Lideea Normal Char"/>
    <w:basedOn w:val="DefaultParagraphFont"/>
    <w:link w:val="LideeaNormal"/>
    <w:rsid w:val="00B45522"/>
    <w:rPr>
      <w:rFonts w:ascii="Arial" w:eastAsia="Times New Roman" w:hAnsi="Arial" w:cs="Arial"/>
      <w:kern w:val="0"/>
      <w:sz w:val="18"/>
      <w:lang w:val="ro-RO" w:eastAsia="nl-NL"/>
      <w14:ligatures w14:val="none"/>
    </w:rPr>
  </w:style>
  <w:style w:type="table" w:styleId="LightShading-Accent1">
    <w:name w:val="Light Shading Accent 1"/>
    <w:basedOn w:val="TableNormal"/>
    <w:uiPriority w:val="60"/>
    <w:rsid w:val="00B45522"/>
    <w:pPr>
      <w:spacing w:after="0" w:line="240" w:lineRule="auto"/>
    </w:pPr>
    <w:rPr>
      <w:color w:val="0F4761" w:themeColor="accent1" w:themeShade="BF"/>
      <w:kern w:val="0"/>
      <w:sz w:val="22"/>
      <w:szCs w:val="22"/>
      <w:lang w:val="nl-NL"/>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LightShading-Accent6">
    <w:name w:val="Light Shading Accent 6"/>
    <w:basedOn w:val="TableNormal"/>
    <w:uiPriority w:val="60"/>
    <w:rsid w:val="00B45522"/>
    <w:pPr>
      <w:spacing w:after="0" w:line="240" w:lineRule="auto"/>
    </w:pPr>
    <w:rPr>
      <w:color w:val="3A7C22" w:themeColor="accent6" w:themeShade="BF"/>
      <w:kern w:val="0"/>
      <w:sz w:val="22"/>
      <w:szCs w:val="22"/>
      <w:lang w:val="nl-NL"/>
      <w14:ligatures w14:val="none"/>
    </w:rPr>
    <w:tblPr>
      <w:tblStyleRowBandSize w:val="1"/>
      <w:tblStyleColBandSize w:val="1"/>
      <w:tblBorders>
        <w:top w:val="single" w:sz="8" w:space="0" w:color="4EA72E" w:themeColor="accent6"/>
        <w:bottom w:val="single" w:sz="8" w:space="0" w:color="4EA72E" w:themeColor="accent6"/>
      </w:tblBorders>
    </w:tblPr>
    <w:tblStylePr w:type="fir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character" w:customStyle="1" w:styleId="ListParagraphChar">
    <w:name w:val="List Paragraph Char"/>
    <w:aliases w:val="Bullet list Char,List Paragraph1 Char,Table of contents numbered Char,Normal bullet 2 Char,Bullet Points Char,Liste Paragraf Char,Liststycke SKL Char,içindekiler vb Char,Sombreado multicolor - Énfasis 31 Char,Bullet OFM Char"/>
    <w:link w:val="ListParagraph"/>
    <w:uiPriority w:val="34"/>
    <w:qFormat/>
    <w:locked/>
    <w:rsid w:val="00B45522"/>
    <w:rPr>
      <w:rFonts w:ascii="Arial" w:hAnsi="Arial"/>
      <w:kern w:val="0"/>
      <w:sz w:val="18"/>
      <w:szCs w:val="22"/>
      <w:lang w:val="ro-RO"/>
      <w14:ligatures w14:val="none"/>
    </w:rPr>
  </w:style>
  <w:style w:type="paragraph" w:customStyle="1" w:styleId="list-bullet-black">
    <w:name w:val="list-bullet-black"/>
    <w:basedOn w:val="Normal"/>
    <w:link w:val="list-bullet-blackChar"/>
    <w:rsid w:val="00B45522"/>
    <w:pPr>
      <w:numPr>
        <w:numId w:val="5"/>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bullet-blackChar">
    <w:name w:val="list-bullet-black Char"/>
    <w:basedOn w:val="DefaultParagraphFont"/>
    <w:link w:val="list-bullet-black"/>
    <w:rsid w:val="00B45522"/>
    <w:rPr>
      <w:rFonts w:ascii="Arial" w:eastAsia="Times New Roman" w:hAnsi="Arial" w:cs="Times New Roman"/>
      <w:kern w:val="0"/>
      <w:sz w:val="18"/>
      <w:lang w:val="en-GB" w:eastAsia="nl-NL"/>
      <w14:ligatures w14:val="none"/>
    </w:rPr>
  </w:style>
  <w:style w:type="paragraph" w:customStyle="1" w:styleId="list-bullet-black-table">
    <w:name w:val="list-bullet-black-table"/>
    <w:basedOn w:val="Normal"/>
    <w:link w:val="list-bullet-black-tableChar"/>
    <w:rsid w:val="00B45522"/>
    <w:pPr>
      <w:numPr>
        <w:numId w:val="6"/>
      </w:numPr>
      <w:spacing w:before="120" w:after="120" w:line="280" w:lineRule="atLeast"/>
    </w:pPr>
    <w:rPr>
      <w:rFonts w:ascii="Arial" w:eastAsia="Times New Roman" w:hAnsi="Arial" w:cs="Times New Roman"/>
      <w:kern w:val="0"/>
      <w:sz w:val="16"/>
      <w:lang w:val="en-GB" w:eastAsia="nl-NL"/>
      <w14:ligatures w14:val="none"/>
    </w:rPr>
  </w:style>
  <w:style w:type="character" w:customStyle="1" w:styleId="list-bullet-black-tableChar">
    <w:name w:val="list-bullet-black-table Char"/>
    <w:basedOn w:val="DefaultParagraphFont"/>
    <w:link w:val="list-bullet-black-table"/>
    <w:rsid w:val="00B45522"/>
    <w:rPr>
      <w:rFonts w:ascii="Arial" w:eastAsia="Times New Roman" w:hAnsi="Arial" w:cs="Times New Roman"/>
      <w:kern w:val="0"/>
      <w:sz w:val="16"/>
      <w:lang w:val="en-GB" w:eastAsia="nl-NL"/>
      <w14:ligatures w14:val="none"/>
    </w:rPr>
  </w:style>
  <w:style w:type="paragraph" w:customStyle="1" w:styleId="list-bullet-color">
    <w:name w:val="list-bullet-color"/>
    <w:basedOn w:val="Normal"/>
    <w:link w:val="list-bullet-colorChar"/>
    <w:rsid w:val="00B45522"/>
    <w:pPr>
      <w:numPr>
        <w:numId w:val="7"/>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bullet-colorChar">
    <w:name w:val="list-bullet-color Char"/>
    <w:basedOn w:val="DefaultParagraphFont"/>
    <w:link w:val="list-bullet-color"/>
    <w:rsid w:val="00B45522"/>
    <w:rPr>
      <w:rFonts w:ascii="Arial" w:eastAsia="Times New Roman" w:hAnsi="Arial" w:cs="Times New Roman"/>
      <w:kern w:val="0"/>
      <w:sz w:val="18"/>
      <w:lang w:val="en-GB" w:eastAsia="nl-NL"/>
      <w14:ligatures w14:val="none"/>
    </w:rPr>
  </w:style>
  <w:style w:type="paragraph" w:customStyle="1" w:styleId="list-bullet-color-table">
    <w:name w:val="list-bullet-color-table"/>
    <w:basedOn w:val="Normal"/>
    <w:link w:val="list-bullet-color-tableChar"/>
    <w:rsid w:val="00B45522"/>
    <w:pPr>
      <w:numPr>
        <w:numId w:val="8"/>
      </w:numPr>
      <w:spacing w:before="120" w:after="120" w:line="280" w:lineRule="atLeast"/>
    </w:pPr>
    <w:rPr>
      <w:rFonts w:ascii="Arial" w:eastAsia="Times New Roman" w:hAnsi="Arial" w:cs="Times New Roman"/>
      <w:kern w:val="0"/>
      <w:sz w:val="16"/>
      <w:lang w:val="en-GB" w:eastAsia="nl-NL"/>
      <w14:ligatures w14:val="none"/>
    </w:rPr>
  </w:style>
  <w:style w:type="character" w:customStyle="1" w:styleId="list-bullet-color-tableChar">
    <w:name w:val="list-bullet-color-table Char"/>
    <w:basedOn w:val="DefaultParagraphFont"/>
    <w:link w:val="list-bullet-color-table"/>
    <w:rsid w:val="00B45522"/>
    <w:rPr>
      <w:rFonts w:ascii="Arial" w:eastAsia="Times New Roman" w:hAnsi="Arial" w:cs="Times New Roman"/>
      <w:kern w:val="0"/>
      <w:sz w:val="16"/>
      <w:lang w:val="en-GB" w:eastAsia="nl-NL"/>
      <w14:ligatures w14:val="none"/>
    </w:rPr>
  </w:style>
  <w:style w:type="paragraph" w:customStyle="1" w:styleId="list-number-black">
    <w:name w:val="list-number-black"/>
    <w:basedOn w:val="Normal"/>
    <w:link w:val="list-number-blackChar"/>
    <w:rsid w:val="00B45522"/>
    <w:pPr>
      <w:numPr>
        <w:numId w:val="11"/>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number-blackChar">
    <w:name w:val="list-number-black Char"/>
    <w:basedOn w:val="DefaultParagraphFont"/>
    <w:link w:val="list-number-black"/>
    <w:rsid w:val="00B45522"/>
    <w:rPr>
      <w:rFonts w:ascii="Arial" w:eastAsia="Times New Roman" w:hAnsi="Arial" w:cs="Times New Roman"/>
      <w:kern w:val="0"/>
      <w:sz w:val="18"/>
      <w:lang w:val="en-GB" w:eastAsia="nl-NL"/>
      <w14:ligatures w14:val="none"/>
    </w:rPr>
  </w:style>
  <w:style w:type="paragraph" w:customStyle="1" w:styleId="list-number-black-table">
    <w:name w:val="list-number-black-table"/>
    <w:basedOn w:val="list-number-black"/>
    <w:link w:val="list-number-black-tableChar"/>
    <w:rsid w:val="00B45522"/>
    <w:pPr>
      <w:numPr>
        <w:numId w:val="0"/>
      </w:numPr>
      <w:ind w:left="284" w:hanging="284"/>
    </w:pPr>
    <w:rPr>
      <w:sz w:val="16"/>
    </w:rPr>
  </w:style>
  <w:style w:type="character" w:customStyle="1" w:styleId="list-number-black-tableChar">
    <w:name w:val="list-number-black-table Char"/>
    <w:basedOn w:val="list-number-blackChar"/>
    <w:link w:val="list-number-black-table"/>
    <w:rsid w:val="00B45522"/>
    <w:rPr>
      <w:rFonts w:ascii="Arial" w:eastAsia="Times New Roman" w:hAnsi="Arial" w:cs="Times New Roman"/>
      <w:kern w:val="0"/>
      <w:sz w:val="16"/>
      <w:lang w:val="en-GB" w:eastAsia="nl-NL"/>
      <w14:ligatures w14:val="none"/>
    </w:rPr>
  </w:style>
  <w:style w:type="paragraph" w:customStyle="1" w:styleId="list-number-color">
    <w:name w:val="list-number-color"/>
    <w:basedOn w:val="Normal"/>
    <w:link w:val="list-number-colorChar"/>
    <w:rsid w:val="00B45522"/>
    <w:pPr>
      <w:numPr>
        <w:numId w:val="10"/>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number-colorChar">
    <w:name w:val="list-number-color Char"/>
    <w:basedOn w:val="DefaultParagraphFont"/>
    <w:link w:val="list-number-color"/>
    <w:rsid w:val="00B45522"/>
    <w:rPr>
      <w:rFonts w:ascii="Arial" w:eastAsia="Times New Roman" w:hAnsi="Arial" w:cs="Times New Roman"/>
      <w:kern w:val="0"/>
      <w:sz w:val="18"/>
      <w:lang w:val="en-GB" w:eastAsia="nl-NL"/>
      <w14:ligatures w14:val="none"/>
    </w:rPr>
  </w:style>
  <w:style w:type="paragraph" w:customStyle="1" w:styleId="list-number-color-table">
    <w:name w:val="list-number-color-table"/>
    <w:basedOn w:val="Normal"/>
    <w:link w:val="list-number-color-tableChar"/>
    <w:rsid w:val="00B45522"/>
    <w:pPr>
      <w:spacing w:before="120" w:after="120" w:line="280" w:lineRule="atLeast"/>
      <w:ind w:left="284" w:hanging="284"/>
    </w:pPr>
    <w:rPr>
      <w:rFonts w:ascii="Arial" w:eastAsia="Times New Roman" w:hAnsi="Arial" w:cs="Times New Roman"/>
      <w:kern w:val="0"/>
      <w:sz w:val="16"/>
      <w:lang w:val="en-GB" w:eastAsia="nl-NL"/>
      <w14:ligatures w14:val="none"/>
    </w:rPr>
  </w:style>
  <w:style w:type="character" w:customStyle="1" w:styleId="list-number-color-tableChar">
    <w:name w:val="list-number-color-table Char"/>
    <w:basedOn w:val="DefaultParagraphFont"/>
    <w:link w:val="list-number-color-table"/>
    <w:rsid w:val="00B45522"/>
    <w:rPr>
      <w:rFonts w:ascii="Arial" w:eastAsia="Times New Roman" w:hAnsi="Arial" w:cs="Times New Roman"/>
      <w:kern w:val="0"/>
      <w:sz w:val="16"/>
      <w:lang w:val="en-GB" w:eastAsia="nl-NL"/>
      <w14:ligatures w14:val="none"/>
    </w:rPr>
  </w:style>
  <w:style w:type="paragraph" w:customStyle="1" w:styleId="msonormal0">
    <w:name w:val="msonormal"/>
    <w:basedOn w:val="Normal"/>
    <w:rsid w:val="00B45522"/>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NoSpacing">
    <w:name w:val="No Spacing"/>
    <w:uiPriority w:val="1"/>
    <w:qFormat/>
    <w:rsid w:val="00B45522"/>
    <w:pPr>
      <w:spacing w:after="0" w:line="240" w:lineRule="auto"/>
    </w:pPr>
    <w:rPr>
      <w:kern w:val="0"/>
      <w:sz w:val="22"/>
      <w:szCs w:val="22"/>
      <w:lang w:val="ro-RO"/>
      <w14:ligatures w14:val="none"/>
    </w:rPr>
  </w:style>
  <w:style w:type="paragraph" w:customStyle="1" w:styleId="no-heading-blue-1">
    <w:name w:val="no-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kern w:val="0"/>
      <w:sz w:val="36"/>
      <w:lang w:eastAsia="nl-NL"/>
      <w14:ligatures w14:val="none"/>
    </w:rPr>
  </w:style>
  <w:style w:type="paragraph" w:customStyle="1" w:styleId="no-heading-blue-2">
    <w:name w:val="no-heading-blue-2"/>
    <w:basedOn w:val="Normal"/>
    <w:next w:val="Normal"/>
    <w:rsid w:val="00B45522"/>
    <w:pPr>
      <w:keepNext/>
      <w:keepLines/>
      <w:spacing w:before="120" w:after="280" w:line="280" w:lineRule="atLeast"/>
      <w:outlineLvl w:val="1"/>
    </w:pPr>
    <w:rPr>
      <w:rFonts w:ascii="Arial" w:eastAsia="Times New Roman" w:hAnsi="Arial" w:cs="Times New Roman"/>
      <w:color w:val="006DB6"/>
      <w:kern w:val="0"/>
      <w:sz w:val="22"/>
      <w:lang w:eastAsia="nl-NL"/>
      <w14:ligatures w14:val="none"/>
    </w:rPr>
  </w:style>
  <w:style w:type="paragraph" w:customStyle="1" w:styleId="no-heading-blue-3">
    <w:name w:val="no-heading-blue-3"/>
    <w:basedOn w:val="Normal"/>
    <w:next w:val="Normal"/>
    <w:rsid w:val="00B45522"/>
    <w:pPr>
      <w:keepNext/>
      <w:keepLines/>
      <w:spacing w:before="120" w:after="120" w:line="280" w:lineRule="atLeast"/>
      <w:outlineLvl w:val="2"/>
    </w:pPr>
    <w:rPr>
      <w:rFonts w:ascii="Arial" w:eastAsia="Times New Roman" w:hAnsi="Arial" w:cs="Times New Roman"/>
      <w:b/>
      <w:color w:val="006DB6"/>
      <w:kern w:val="0"/>
      <w:sz w:val="18"/>
      <w:lang w:eastAsia="nl-NL"/>
      <w14:ligatures w14:val="none"/>
    </w:rPr>
  </w:style>
  <w:style w:type="paragraph" w:customStyle="1" w:styleId="no-heading-blue-4">
    <w:name w:val="no-heading-blue-4"/>
    <w:basedOn w:val="Normal"/>
    <w:next w:val="Normal"/>
    <w:rsid w:val="00B45522"/>
    <w:pPr>
      <w:keepNext/>
      <w:keepLines/>
      <w:spacing w:before="120" w:after="120" w:line="280" w:lineRule="atLeast"/>
      <w:outlineLvl w:val="3"/>
    </w:pPr>
    <w:rPr>
      <w:rFonts w:ascii="Arial" w:eastAsia="Times New Roman" w:hAnsi="Arial" w:cs="Times New Roman"/>
      <w:i/>
      <w:color w:val="006DB6"/>
      <w:kern w:val="0"/>
      <w:sz w:val="18"/>
      <w:lang w:eastAsia="nl-NL"/>
      <w14:ligatures w14:val="none"/>
    </w:rPr>
  </w:style>
  <w:style w:type="table" w:customStyle="1" w:styleId="table-style-blauw-000-none">
    <w:name w:val="table-style-blauw-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00-outline">
    <w:name w:val="table-style-blauw-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none">
    <w:name w:val="table-style-blauw-040-none"/>
    <w:basedOn w:val="TableNormal"/>
    <w:rsid w:val="00B45522"/>
    <w:pPr>
      <w:spacing w:after="0" w:line="280" w:lineRule="atLeast"/>
    </w:pPr>
    <w:rPr>
      <w:rFonts w:ascii="Arial" w:eastAsia="Times New Roman" w:hAnsi="Arial" w:cs="Times New Roman"/>
      <w:color w:val="006DB6"/>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outline">
    <w:name w:val="table-style-blauw-040-outline"/>
    <w:basedOn w:val="table-style-blauw-000-outline"/>
    <w:rsid w:val="00B45522"/>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none">
    <w:name w:val="table-style-blauw-07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outline">
    <w:name w:val="table-style-blauw-07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100-none">
    <w:name w:val="table-style-blauw-1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100-outline">
    <w:name w:val="table-style-blauw-10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groen-000-none">
    <w:name w:val="table-style-blauwgroen-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00-outline">
    <w:name w:val="table-style-blauwgroen-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none">
    <w:name w:val="table-style-blauwgroen-04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outline">
    <w:name w:val="table-style-blauwgroen-040-outline"/>
    <w:basedOn w:val="table-style-blauwgroen-000-outline"/>
    <w:rsid w:val="00B45522"/>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100-outline">
    <w:name w:val="table-style-blauwgroen-100-outline"/>
    <w:basedOn w:val="table-style-blauwgroen-000-outline"/>
    <w:rsid w:val="00B45522"/>
    <w:tblPr/>
    <w:tblStylePr w:type="firstRow">
      <w:pPr>
        <w:keepNext/>
        <w:keepLines/>
        <w:wordWrap/>
      </w:pPr>
      <w:rPr>
        <w:rFonts w:ascii="Arial" w:hAnsi="Arial"/>
        <w:b/>
        <w:i w:val="0"/>
        <w:color w:val="FFFFFF"/>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solid" w:color="009696" w:fill="009696"/>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none">
    <w:name w:val="table-style-donkerblauw-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outline">
    <w:name w:val="table-style-donkerblauw-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none">
    <w:name w:val="table-style-donkerblauw-040-none"/>
    <w:basedOn w:val="table-style-donkerblauw-040-outline"/>
    <w:rsid w:val="00B45522"/>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outline">
    <w:name w:val="table-style-donkerblauw-040-outline"/>
    <w:basedOn w:val="table-style-donkerblauw-000-outline"/>
    <w:rsid w:val="00B45522"/>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character" w:customStyle="1" w:styleId="Heading4Char">
    <w:name w:val="Heading 4 Char"/>
    <w:basedOn w:val="DefaultParagraphFont"/>
    <w:link w:val="Heading4"/>
    <w:uiPriority w:val="9"/>
    <w:rsid w:val="00B45522"/>
    <w:rPr>
      <w:rFonts w:ascii="Arial" w:eastAsia="Times New Roman" w:hAnsi="Arial" w:cs="Times New Roman"/>
      <w:b/>
      <w:bCs/>
      <w:color w:val="006DB6"/>
      <w:kern w:val="0"/>
      <w:sz w:val="22"/>
      <w:szCs w:val="28"/>
      <w:lang w:val="ro-RO" w:eastAsia="nl-NL"/>
      <w14:ligatures w14:val="none"/>
    </w:rPr>
  </w:style>
  <w:style w:type="character" w:customStyle="1" w:styleId="Heading5Char">
    <w:name w:val="Heading 5 Char"/>
    <w:basedOn w:val="DefaultParagraphFont"/>
    <w:link w:val="Heading5"/>
    <w:uiPriority w:val="9"/>
    <w:rsid w:val="00B45522"/>
    <w:rPr>
      <w:rFonts w:ascii="Arial" w:eastAsia="Times New Roman" w:hAnsi="Arial" w:cs="Times New Roman"/>
      <w:bCs/>
      <w:i/>
      <w:iCs/>
      <w:color w:val="006DB6"/>
      <w:kern w:val="0"/>
      <w:sz w:val="22"/>
      <w:szCs w:val="26"/>
      <w:lang w:val="ro-RO" w:eastAsia="nl-NL"/>
      <w14:ligatures w14:val="none"/>
    </w:rPr>
  </w:style>
  <w:style w:type="character" w:customStyle="1" w:styleId="Heading6Char">
    <w:name w:val="Heading 6 Char"/>
    <w:basedOn w:val="DefaultParagraphFont"/>
    <w:link w:val="Heading6"/>
    <w:uiPriority w:val="9"/>
    <w:rsid w:val="00B45522"/>
    <w:rPr>
      <w:rFonts w:ascii="Arial" w:eastAsia="Times New Roman" w:hAnsi="Arial" w:cs="Times New Roman"/>
      <w:bCs/>
      <w:color w:val="006DB6"/>
      <w:kern w:val="0"/>
      <w:sz w:val="18"/>
      <w:szCs w:val="22"/>
      <w:lang w:val="ro-RO" w:eastAsia="nl-NL"/>
      <w14:ligatures w14:val="none"/>
    </w:rPr>
  </w:style>
  <w:style w:type="character" w:customStyle="1" w:styleId="Heading7Char">
    <w:name w:val="Heading 7 Char"/>
    <w:basedOn w:val="DefaultParagraphFont"/>
    <w:link w:val="Heading7"/>
    <w:uiPriority w:val="9"/>
    <w:rsid w:val="00B45522"/>
    <w:rPr>
      <w:rFonts w:ascii="Arial" w:eastAsia="Times New Roman" w:hAnsi="Arial" w:cs="Times New Roman"/>
      <w:color w:val="006DB6"/>
      <w:kern w:val="0"/>
      <w:sz w:val="18"/>
      <w:lang w:val="ro-RO" w:eastAsia="nl-NL"/>
      <w14:ligatures w14:val="none"/>
    </w:rPr>
  </w:style>
  <w:style w:type="character" w:customStyle="1" w:styleId="Heading8Char">
    <w:name w:val="Heading 8 Char"/>
    <w:basedOn w:val="DefaultParagraphFont"/>
    <w:link w:val="Heading8"/>
    <w:uiPriority w:val="9"/>
    <w:rsid w:val="00B45522"/>
    <w:rPr>
      <w:rFonts w:ascii="Arial" w:eastAsia="Times New Roman" w:hAnsi="Arial" w:cs="Times New Roman"/>
      <w:iCs/>
      <w:color w:val="006DB6"/>
      <w:kern w:val="0"/>
      <w:sz w:val="18"/>
      <w:lang w:val="ro-RO" w:eastAsia="nl-NL"/>
      <w14:ligatures w14:val="none"/>
    </w:rPr>
  </w:style>
  <w:style w:type="character" w:customStyle="1" w:styleId="Heading9Char">
    <w:name w:val="Heading 9 Char"/>
    <w:basedOn w:val="DefaultParagraphFont"/>
    <w:link w:val="Heading9"/>
    <w:uiPriority w:val="9"/>
    <w:rsid w:val="00B45522"/>
    <w:rPr>
      <w:rFonts w:ascii="Arial" w:eastAsia="Times New Roman" w:hAnsi="Arial" w:cs="Arial"/>
      <w:color w:val="006DB6"/>
      <w:kern w:val="0"/>
      <w:sz w:val="18"/>
      <w:szCs w:val="22"/>
      <w:lang w:val="ro-RO" w:eastAsia="nl-NL"/>
      <w14:ligatures w14:val="none"/>
    </w:rPr>
  </w:style>
  <w:style w:type="paragraph" w:customStyle="1" w:styleId="heading-blue-2">
    <w:name w:val="heading-blue-2"/>
    <w:basedOn w:val="Normal"/>
    <w:next w:val="Normal"/>
    <w:uiPriority w:val="99"/>
    <w:rsid w:val="00B45522"/>
    <w:pPr>
      <w:keepNext/>
      <w:keepLines/>
      <w:spacing w:before="120" w:after="280" w:line="280" w:lineRule="atLeast"/>
      <w:outlineLvl w:val="1"/>
    </w:pPr>
    <w:rPr>
      <w:rFonts w:ascii="Arial" w:eastAsia="Times New Roman" w:hAnsi="Arial" w:cs="Times New Roman"/>
      <w:color w:val="006DB6"/>
      <w:kern w:val="0"/>
      <w:sz w:val="22"/>
      <w:lang w:eastAsia="nl-NL"/>
      <w14:ligatures w14:val="none"/>
    </w:rPr>
  </w:style>
  <w:style w:type="paragraph" w:customStyle="1" w:styleId="heading-blue-3">
    <w:name w:val="heading-blue-3"/>
    <w:basedOn w:val="Normal"/>
    <w:next w:val="Normal"/>
    <w:uiPriority w:val="99"/>
    <w:rsid w:val="00B45522"/>
    <w:pPr>
      <w:keepNext/>
      <w:keepLines/>
      <w:spacing w:before="120" w:after="120" w:line="280" w:lineRule="atLeast"/>
      <w:outlineLvl w:val="2"/>
    </w:pPr>
    <w:rPr>
      <w:rFonts w:ascii="Arial" w:eastAsia="Times New Roman" w:hAnsi="Arial" w:cs="Times New Roman"/>
      <w:i/>
      <w:color w:val="006DB6"/>
      <w:kern w:val="0"/>
      <w:sz w:val="18"/>
      <w:lang w:eastAsia="nl-NL"/>
      <w14:ligatures w14:val="none"/>
    </w:rPr>
  </w:style>
  <w:style w:type="paragraph" w:customStyle="1" w:styleId="heading-blue-4">
    <w:name w:val="heading-blue-4"/>
    <w:basedOn w:val="Normal"/>
    <w:next w:val="Normal"/>
    <w:uiPriority w:val="99"/>
    <w:rsid w:val="00B45522"/>
    <w:pPr>
      <w:keepNext/>
      <w:keepLines/>
      <w:spacing w:before="120" w:after="120" w:line="280" w:lineRule="atLeast"/>
      <w:outlineLvl w:val="3"/>
    </w:pPr>
    <w:rPr>
      <w:rFonts w:ascii="Arial" w:eastAsia="Times New Roman" w:hAnsi="Arial" w:cs="Times New Roman"/>
      <w:i/>
      <w:color w:val="006DB6"/>
      <w:kern w:val="0"/>
      <w:sz w:val="18"/>
      <w:lang w:eastAsia="nl-NL"/>
      <w14:ligatures w14:val="none"/>
    </w:rPr>
  </w:style>
  <w:style w:type="paragraph" w:customStyle="1" w:styleId="heading-blue-5">
    <w:name w:val="heading-blue-5"/>
    <w:basedOn w:val="Normal"/>
    <w:next w:val="Normal"/>
    <w:uiPriority w:val="99"/>
    <w:rsid w:val="00B45522"/>
    <w:pPr>
      <w:keepNext/>
      <w:keepLines/>
      <w:spacing w:before="120" w:after="120" w:line="280" w:lineRule="atLeast"/>
      <w:outlineLvl w:val="4"/>
    </w:pPr>
    <w:rPr>
      <w:rFonts w:ascii="Arial" w:eastAsia="Times New Roman" w:hAnsi="Arial" w:cs="Times New Roman"/>
      <w:b/>
      <w:color w:val="006DB6"/>
      <w:kern w:val="0"/>
      <w:sz w:val="18"/>
      <w:lang w:eastAsia="nl-NL"/>
      <w14:ligatures w14:val="none"/>
    </w:rPr>
  </w:style>
  <w:style w:type="paragraph" w:customStyle="1" w:styleId="heading-blue-6">
    <w:name w:val="heading-blue-6"/>
    <w:basedOn w:val="Normal"/>
    <w:next w:val="Normal"/>
    <w:uiPriority w:val="99"/>
    <w:rsid w:val="00B45522"/>
    <w:pPr>
      <w:keepNext/>
      <w:keepLines/>
      <w:spacing w:before="120" w:after="120" w:line="280" w:lineRule="atLeast"/>
      <w:outlineLvl w:val="5"/>
    </w:pPr>
    <w:rPr>
      <w:rFonts w:ascii="Arial" w:eastAsia="Times New Roman" w:hAnsi="Arial" w:cs="Times New Roman"/>
      <w:color w:val="006DB6"/>
      <w:kern w:val="0"/>
      <w:sz w:val="18"/>
      <w:lang w:eastAsia="nl-NL"/>
      <w14:ligatures w14:val="none"/>
    </w:rPr>
  </w:style>
  <w:style w:type="paragraph" w:customStyle="1" w:styleId="heading-blue-1">
    <w:name w:val="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kern w:val="0"/>
      <w:sz w:val="36"/>
      <w:lang w:eastAsia="nl-NL"/>
      <w14:ligatures w14:val="none"/>
    </w:rPr>
  </w:style>
  <w:style w:type="table" w:customStyle="1" w:styleId="GridTable1Light-Accent11">
    <w:name w:val="Grid Table 1 Light - Accent 11"/>
    <w:basedOn w:val="TableNormal"/>
    <w:uiPriority w:val="46"/>
    <w:rsid w:val="00B45522"/>
    <w:pPr>
      <w:spacing w:after="0" w:line="240" w:lineRule="auto"/>
    </w:pPr>
    <w:rPr>
      <w:kern w:val="0"/>
      <w:sz w:val="22"/>
      <w:szCs w:val="22"/>
      <w14:ligatures w14:val="none"/>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table" w:customStyle="1" w:styleId="GridTable4-Accent51">
    <w:name w:val="Grid Table 4 - Accent 51"/>
    <w:basedOn w:val="TableNormal"/>
    <w:uiPriority w:val="49"/>
    <w:rsid w:val="00B45522"/>
    <w:pPr>
      <w:spacing w:after="0" w:line="240" w:lineRule="auto"/>
    </w:pPr>
    <w:rPr>
      <w:kern w:val="0"/>
      <w:sz w:val="22"/>
      <w:szCs w:val="22"/>
      <w14:ligatures w14:val="none"/>
    </w:rPr>
    <w:tblPr>
      <w:tblStyleRowBandSize w:val="1"/>
      <w:tblStyleColBandSize w:val="1"/>
      <w:tblBorders>
        <w:top w:val="single" w:sz="4" w:space="0" w:color="006DB6"/>
        <w:left w:val="single" w:sz="4" w:space="0" w:color="006DB6"/>
        <w:bottom w:val="single" w:sz="4" w:space="0" w:color="006DB6"/>
        <w:right w:val="single" w:sz="4" w:space="0" w:color="006DB6"/>
        <w:insideH w:val="single" w:sz="4" w:space="0" w:color="006DB6"/>
        <w:insideV w:val="single" w:sz="4" w:space="0" w:color="006DB6"/>
      </w:tblBorders>
    </w:tblPr>
    <w:tcPr>
      <w:shd w:val="clear" w:color="auto" w:fill="auto"/>
    </w:tc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insideV w:val="nil"/>
        </w:tcBorders>
        <w:shd w:val="clear" w:color="auto" w:fill="A02B93" w:themeFill="accent5"/>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customStyle="1" w:styleId="GridTable5Dark-Accent11">
    <w:name w:val="Grid Table 5 Dark - Accent 11"/>
    <w:basedOn w:val="TableNormal"/>
    <w:uiPriority w:val="50"/>
    <w:rsid w:val="00B45522"/>
    <w:pPr>
      <w:spacing w:after="0" w:line="240" w:lineRule="auto"/>
    </w:pPr>
    <w:rPr>
      <w:kern w:val="0"/>
      <w:sz w:val="22"/>
      <w:szCs w:val="22"/>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paragraph" w:customStyle="1" w:styleId="FootnoteRefernece">
    <w:name w:val="Footnote Refernece"/>
    <w:aliases w:val="callout,Footnotes refss,Fussnota,Zchn Zchn,BVI fn"/>
    <w:basedOn w:val="Normal"/>
    <w:next w:val="Normal"/>
    <w:rsid w:val="00B45522"/>
    <w:pPr>
      <w:spacing w:line="240" w:lineRule="exact"/>
    </w:pPr>
    <w:rPr>
      <w:szCs w:val="22"/>
      <w:vertAlign w:val="superscript"/>
    </w:rPr>
  </w:style>
  <w:style w:type="paragraph" w:styleId="FootnoteText">
    <w:name w:val="footnote text"/>
    <w:aliases w:val="Footnote Text Char Char,Fußnote,fn,FT,ft,SD Footnote Text,Footnote Text AG,Note de bas de page Car Car,Note de bas de page Car Car Car Car Car,Note de bas de page Car Car Car Car,Note de bas de page Car Car Car,Podrozdział,Footnote,stile,o"/>
    <w:basedOn w:val="Normal"/>
    <w:link w:val="FootnoteTextChar"/>
    <w:qFormat/>
    <w:rsid w:val="00B45522"/>
    <w:pPr>
      <w:tabs>
        <w:tab w:val="left" w:pos="340"/>
      </w:tabs>
      <w:spacing w:after="0" w:line="200" w:lineRule="atLeast"/>
      <w:ind w:left="340" w:hanging="340"/>
    </w:pPr>
    <w:rPr>
      <w:rFonts w:ascii="Arial" w:eastAsia="Times New Roman" w:hAnsi="Arial" w:cs="Times New Roman"/>
      <w:kern w:val="0"/>
      <w:sz w:val="14"/>
      <w:szCs w:val="20"/>
      <w:lang w:eastAsia="nl-NL"/>
      <w14:ligatures w14:val="none"/>
    </w:rPr>
  </w:style>
  <w:style w:type="character" w:customStyle="1" w:styleId="FootnoteTextChar">
    <w:name w:val="Footnote Text Char"/>
    <w:aliases w:val="Footnote Text Char Char Char,Fußnote Char,fn Char,FT Char,ft Char,SD Footnote Text Char,Footnote Text AG Char,Note de bas de page Car Car Char,Note de bas de page Car Car Car Car Car Char,Note de bas de page Car Car Car Car Char"/>
    <w:basedOn w:val="DefaultParagraphFont"/>
    <w:link w:val="FootnoteText"/>
    <w:rsid w:val="00B45522"/>
    <w:rPr>
      <w:rFonts w:ascii="Arial" w:eastAsia="Times New Roman" w:hAnsi="Arial" w:cs="Times New Roman"/>
      <w:kern w:val="0"/>
      <w:sz w:val="14"/>
      <w:szCs w:val="20"/>
      <w:lang w:val="ro-RO" w:eastAsia="nl-NL"/>
      <w14:ligatures w14:val="none"/>
    </w:rPr>
  </w:style>
  <w:style w:type="paragraph" w:customStyle="1" w:styleId="EYBulletedtext1">
    <w:name w:val="EY Bulleted text 1"/>
    <w:basedOn w:val="Normal"/>
    <w:rsid w:val="00B45522"/>
    <w:pPr>
      <w:numPr>
        <w:numId w:val="13"/>
      </w:numPr>
      <w:suppressAutoHyphens/>
      <w:spacing w:after="0" w:line="260" w:lineRule="exact"/>
    </w:pPr>
    <w:rPr>
      <w:rFonts w:ascii="Arial" w:eastAsia="Times New Roman" w:hAnsi="Arial" w:cs="Times New Roman"/>
      <w:kern w:val="12"/>
      <w:sz w:val="20"/>
      <w14:ligatures w14:val="none"/>
    </w:rPr>
  </w:style>
  <w:style w:type="paragraph" w:customStyle="1" w:styleId="Hdg2">
    <w:name w:val="_Hdg2#"/>
    <w:basedOn w:val="Heading2"/>
    <w:next w:val="Normal"/>
    <w:qFormat/>
    <w:rsid w:val="00B45522"/>
    <w:pPr>
      <w:keepLines w:val="0"/>
      <w:numPr>
        <w:ilvl w:val="1"/>
        <w:numId w:val="16"/>
      </w:numPr>
      <w:spacing w:before="360" w:after="120" w:line="276" w:lineRule="auto"/>
      <w:jc w:val="both"/>
    </w:pPr>
    <w:rPr>
      <w:rFonts w:ascii="Arial" w:eastAsia="Times New Roman" w:hAnsi="Arial" w:cs="Arial"/>
      <w:color w:val="9E0880"/>
      <w:kern w:val="0"/>
      <w:sz w:val="22"/>
      <w:szCs w:val="22"/>
      <w:lang w:eastAsia="ro-RO"/>
      <w14:ligatures w14:val="none"/>
    </w:rPr>
  </w:style>
  <w:style w:type="paragraph" w:customStyle="1" w:styleId="Hdg4">
    <w:name w:val="_Hdg4#"/>
    <w:basedOn w:val="Heading4"/>
    <w:next w:val="Normal"/>
    <w:rsid w:val="00B45522"/>
    <w:pPr>
      <w:keepLines w:val="0"/>
      <w:numPr>
        <w:ilvl w:val="3"/>
        <w:numId w:val="16"/>
      </w:numPr>
      <w:spacing w:after="0" w:line="230" w:lineRule="exact"/>
      <w:jc w:val="both"/>
    </w:pPr>
    <w:rPr>
      <w:bCs w:val="0"/>
      <w:color w:val="auto"/>
      <w:sz w:val="20"/>
      <w:szCs w:val="20"/>
      <w:lang w:val="en-GB" w:eastAsia="ro-RO"/>
    </w:rPr>
  </w:style>
  <w:style w:type="paragraph" w:customStyle="1" w:styleId="NumberedParas">
    <w:name w:val="_Numbered Paras"/>
    <w:basedOn w:val="Normal"/>
    <w:qFormat/>
    <w:rsid w:val="00B45522"/>
    <w:pPr>
      <w:numPr>
        <w:ilvl w:val="2"/>
        <w:numId w:val="16"/>
      </w:numPr>
      <w:tabs>
        <w:tab w:val="num" w:pos="360"/>
        <w:tab w:val="left" w:pos="2268"/>
      </w:tabs>
      <w:spacing w:before="120" w:after="120" w:line="276" w:lineRule="auto"/>
      <w:jc w:val="both"/>
    </w:pPr>
    <w:rPr>
      <w:rFonts w:ascii="Arial" w:eastAsia="Times New Roman" w:hAnsi="Arial" w:cs="Times New Roman"/>
      <w:kern w:val="0"/>
      <w:lang w:eastAsia="ro-RO"/>
      <w14:ligatures w14:val="none"/>
    </w:rPr>
  </w:style>
  <w:style w:type="character" w:customStyle="1" w:styleId="Heading1Char">
    <w:name w:val="Heading 1 Char"/>
    <w:basedOn w:val="DefaultParagraphFont"/>
    <w:link w:val="Heading1"/>
    <w:uiPriority w:val="9"/>
    <w:rsid w:val="00BA0BEC"/>
    <w:rPr>
      <w:rFonts w:asciiTheme="majorHAnsi" w:eastAsiaTheme="majorEastAsia" w:hAnsiTheme="majorHAnsi" w:cstheme="majorBidi"/>
      <w:color w:val="0F4761" w:themeColor="accent1" w:themeShade="BF"/>
      <w:sz w:val="40"/>
      <w:szCs w:val="40"/>
    </w:rPr>
  </w:style>
  <w:style w:type="paragraph" w:styleId="Title">
    <w:name w:val="Title"/>
    <w:basedOn w:val="Normal"/>
    <w:next w:val="Normal"/>
    <w:link w:val="TitleChar"/>
    <w:uiPriority w:val="10"/>
    <w:qFormat/>
    <w:rsid w:val="00BA0B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0B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A0BE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0B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A0BEC"/>
    <w:pPr>
      <w:spacing w:before="160"/>
      <w:jc w:val="center"/>
    </w:pPr>
    <w:rPr>
      <w:i/>
      <w:iCs/>
      <w:color w:val="404040" w:themeColor="text1" w:themeTint="BF"/>
    </w:rPr>
  </w:style>
  <w:style w:type="character" w:customStyle="1" w:styleId="QuoteChar">
    <w:name w:val="Quote Char"/>
    <w:basedOn w:val="DefaultParagraphFont"/>
    <w:link w:val="Quote"/>
    <w:uiPriority w:val="29"/>
    <w:rsid w:val="00BA0BEC"/>
    <w:rPr>
      <w:i/>
      <w:iCs/>
      <w:color w:val="404040" w:themeColor="text1" w:themeTint="BF"/>
    </w:rPr>
  </w:style>
  <w:style w:type="character" w:styleId="IntenseEmphasis">
    <w:name w:val="Intense Emphasis"/>
    <w:basedOn w:val="DefaultParagraphFont"/>
    <w:uiPriority w:val="21"/>
    <w:qFormat/>
    <w:rsid w:val="00BA0BEC"/>
    <w:rPr>
      <w:i/>
      <w:iCs/>
      <w:color w:val="0F4761" w:themeColor="accent1" w:themeShade="BF"/>
    </w:rPr>
  </w:style>
  <w:style w:type="paragraph" w:styleId="IntenseQuote">
    <w:name w:val="Intense Quote"/>
    <w:basedOn w:val="Normal"/>
    <w:next w:val="Normal"/>
    <w:link w:val="IntenseQuoteChar"/>
    <w:uiPriority w:val="30"/>
    <w:qFormat/>
    <w:rsid w:val="00BA0B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0BEC"/>
    <w:rPr>
      <w:i/>
      <w:iCs/>
      <w:color w:val="0F4761" w:themeColor="accent1" w:themeShade="BF"/>
    </w:rPr>
  </w:style>
  <w:style w:type="character" w:styleId="IntenseReference">
    <w:name w:val="Intense Reference"/>
    <w:basedOn w:val="DefaultParagraphFont"/>
    <w:uiPriority w:val="32"/>
    <w:qFormat/>
    <w:rsid w:val="00BA0BEC"/>
    <w:rPr>
      <w:b/>
      <w:bCs/>
      <w:smallCaps/>
      <w:color w:val="0F4761" w:themeColor="accent1" w:themeShade="BF"/>
      <w:spacing w:val="5"/>
    </w:rPr>
  </w:style>
  <w:style w:type="paragraph" w:styleId="Header">
    <w:name w:val="header"/>
    <w:basedOn w:val="Normal"/>
    <w:link w:val="HeaderChar"/>
    <w:uiPriority w:val="99"/>
    <w:unhideWhenUsed/>
    <w:rsid w:val="00E558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5840"/>
  </w:style>
  <w:style w:type="paragraph" w:styleId="Footer">
    <w:name w:val="footer"/>
    <w:basedOn w:val="Normal"/>
    <w:link w:val="FooterChar"/>
    <w:uiPriority w:val="99"/>
    <w:unhideWhenUsed/>
    <w:rsid w:val="00E558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5840"/>
  </w:style>
  <w:style w:type="character" w:styleId="Hyperlink">
    <w:name w:val="Hyperlink"/>
    <w:basedOn w:val="DefaultParagraphFont"/>
    <w:uiPriority w:val="99"/>
    <w:unhideWhenUsed/>
    <w:rsid w:val="00291377"/>
    <w:rPr>
      <w:color w:val="467886" w:themeColor="hyperlink"/>
      <w:u w:val="single"/>
    </w:rPr>
  </w:style>
  <w:style w:type="paragraph" w:customStyle="1" w:styleId="Figureno">
    <w:name w:val="Figure no."/>
    <w:basedOn w:val="Normal"/>
    <w:qFormat/>
    <w:rsid w:val="00C06981"/>
    <w:pPr>
      <w:numPr>
        <w:numId w:val="18"/>
      </w:numPr>
      <w:tabs>
        <w:tab w:val="left" w:pos="975"/>
      </w:tabs>
      <w:spacing w:before="120" w:after="120" w:line="360" w:lineRule="auto"/>
      <w:jc w:val="both"/>
    </w:pPr>
    <w:rPr>
      <w:rFonts w:ascii="Georgia" w:eastAsia="Calibri" w:hAnsi="Georgia" w:cs="Times New Roman"/>
      <w:b/>
      <w:kern w:val="0"/>
      <w:sz w:val="22"/>
      <w:szCs w:val="22"/>
      <w:lang w:val="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287225">
      <w:bodyDiv w:val="1"/>
      <w:marLeft w:val="0"/>
      <w:marRight w:val="0"/>
      <w:marTop w:val="0"/>
      <w:marBottom w:val="0"/>
      <w:divBdr>
        <w:top w:val="none" w:sz="0" w:space="0" w:color="auto"/>
        <w:left w:val="none" w:sz="0" w:space="0" w:color="auto"/>
        <w:bottom w:val="none" w:sz="0" w:space="0" w:color="auto"/>
        <w:right w:val="none" w:sz="0" w:space="0" w:color="auto"/>
      </w:divBdr>
    </w:div>
    <w:div w:id="1132481379">
      <w:bodyDiv w:val="1"/>
      <w:marLeft w:val="0"/>
      <w:marRight w:val="0"/>
      <w:marTop w:val="0"/>
      <w:marBottom w:val="0"/>
      <w:divBdr>
        <w:top w:val="none" w:sz="0" w:space="0" w:color="auto"/>
        <w:left w:val="none" w:sz="0" w:space="0" w:color="auto"/>
        <w:bottom w:val="none" w:sz="0" w:space="0" w:color="auto"/>
        <w:right w:val="none" w:sz="0" w:space="0" w:color="auto"/>
      </w:divBdr>
    </w:div>
    <w:div w:id="1575358233">
      <w:bodyDiv w:val="1"/>
      <w:marLeft w:val="0"/>
      <w:marRight w:val="0"/>
      <w:marTop w:val="0"/>
      <w:marBottom w:val="0"/>
      <w:divBdr>
        <w:top w:val="none" w:sz="0" w:space="0" w:color="auto"/>
        <w:left w:val="none" w:sz="0" w:space="0" w:color="auto"/>
        <w:bottom w:val="none" w:sz="0" w:space="0" w:color="auto"/>
        <w:right w:val="none" w:sz="0" w:space="0" w:color="auto"/>
      </w:divBdr>
    </w:div>
    <w:div w:id="212384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adrse.ro" TargetMode="External"/><Relationship Id="rId2" Type="http://schemas.openxmlformats.org/officeDocument/2006/relationships/hyperlink" Target="file:///C:/Users/Addwise/Desktop/Evaluari/ADR%20SE/RE/RegioSE" TargetMode="External"/><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te a new document." ma:contentTypeScope="" ma:versionID="818b28ae302174c03c0c39462c2a275d">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a9253a2c810e9462d66049d77c9a0cef"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ee2a0fe-1226-4a34-9e06-7c398078da57" xsi:nil="true"/>
    <lcf76f155ced4ddcb4097134ff3c332f xmlns="1f6e3964-c330-437f-9746-f4e74fd478e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E8C88A-0C06-4267-B879-4A33FE40D4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9ee2a0fe-1226-4a34-9e06-7c398078da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3C500E-4B3A-4DD9-933F-3C6DCC2673D9}">
  <ds:schemaRefs>
    <ds:schemaRef ds:uri="http://schemas.microsoft.com/sharepoint/v3/contenttype/forms"/>
  </ds:schemaRefs>
</ds:datastoreItem>
</file>

<file path=customXml/itemProps3.xml><?xml version="1.0" encoding="utf-8"?>
<ds:datastoreItem xmlns:ds="http://schemas.openxmlformats.org/officeDocument/2006/customXml" ds:itemID="{9C7BC10B-3A40-4962-986E-AB6A1240774F}">
  <ds:schemaRefs>
    <ds:schemaRef ds:uri="http://schemas.microsoft.com/office/2006/metadata/properties"/>
    <ds:schemaRef ds:uri="http://schemas.microsoft.com/office/infopath/2007/PartnerControls"/>
    <ds:schemaRef ds:uri="9ee2a0fe-1226-4a34-9e06-7c398078da57"/>
    <ds:schemaRef ds:uri="1f6e3964-c330-437f-9746-f4e74fd478e1"/>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1183</Words>
  <Characters>6744</Characters>
  <Application>Microsoft Office Word</Application>
  <DocSecurity>0</DocSecurity>
  <Lines>56</Lines>
  <Paragraphs>15</Paragraphs>
  <ScaleCrop>false</ScaleCrop>
  <Company/>
  <LinksUpToDate>false</LinksUpToDate>
  <CharactersWithSpaces>7912</CharactersWithSpaces>
  <SharedDoc>false</SharedDoc>
  <HLinks>
    <vt:vector size="12" baseType="variant">
      <vt:variant>
        <vt:i4>4325407</vt:i4>
      </vt:variant>
      <vt:variant>
        <vt:i4>3</vt:i4>
      </vt:variant>
      <vt:variant>
        <vt:i4>0</vt:i4>
      </vt:variant>
      <vt:variant>
        <vt:i4>5</vt:i4>
      </vt:variant>
      <vt:variant>
        <vt:lpwstr>https://www.facebook.com/adrse.ro</vt:lpwstr>
      </vt:variant>
      <vt:variant>
        <vt:lpwstr/>
      </vt:variant>
      <vt:variant>
        <vt:i4>7077970</vt:i4>
      </vt:variant>
      <vt:variant>
        <vt:i4>0</vt:i4>
      </vt:variant>
      <vt:variant>
        <vt:i4>0</vt:i4>
      </vt:variant>
      <vt:variant>
        <vt:i4>5</vt:i4>
      </vt:variant>
      <vt:variant>
        <vt:lpwstr>C:\Users\Addwise\Desktop\Evaluari\ADR SE\RE\RegioSE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Vancea</dc:creator>
  <cp:keywords/>
  <dc:description/>
  <cp:lastModifiedBy>Irina Stavila</cp:lastModifiedBy>
  <cp:revision>43</cp:revision>
  <dcterms:created xsi:type="dcterms:W3CDTF">2025-03-24T16:56:00Z</dcterms:created>
  <dcterms:modified xsi:type="dcterms:W3CDTF">2025-03-25T16:13:00Z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ies>
</file>