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55B0D4" w14:textId="0130F8B6" w:rsidR="008A2E12" w:rsidRDefault="002D37D7" w:rsidP="002D37D7">
      <w:pPr>
        <w:spacing w:before="120" w:after="120" w:line="240" w:lineRule="auto"/>
        <w:jc w:val="both"/>
        <w:rPr>
          <w:rFonts w:eastAsia="Times New Roman" w:cstheme="minorHAnsi"/>
          <w:b/>
          <w:sz w:val="28"/>
          <w:szCs w:val="28"/>
          <w:lang w:eastAsia="en-GB"/>
        </w:rPr>
      </w:pPr>
      <w:r w:rsidRPr="00F77CF1">
        <w:rPr>
          <w:rFonts w:eastAsia="Times New Roman" w:cstheme="minorHAnsi"/>
          <w:b/>
          <w:sz w:val="28"/>
          <w:szCs w:val="28"/>
          <w:lang w:eastAsia="en-GB"/>
        </w:rPr>
        <w:t xml:space="preserve">Anexa </w:t>
      </w:r>
      <w:r w:rsidR="003E53F3" w:rsidRPr="00F77CF1">
        <w:rPr>
          <w:rFonts w:eastAsia="Times New Roman" w:cstheme="minorHAnsi"/>
          <w:b/>
          <w:sz w:val="28"/>
          <w:szCs w:val="28"/>
          <w:lang w:eastAsia="en-GB"/>
        </w:rPr>
        <w:t>4</w:t>
      </w:r>
      <w:r w:rsidRPr="00F77CF1">
        <w:rPr>
          <w:rFonts w:eastAsia="Times New Roman" w:cstheme="minorHAnsi"/>
          <w:b/>
          <w:sz w:val="28"/>
          <w:szCs w:val="28"/>
          <w:lang w:eastAsia="en-GB"/>
        </w:rPr>
        <w:t xml:space="preserve"> </w:t>
      </w:r>
      <w:r w:rsidR="00EA722B" w:rsidRPr="00F77CF1">
        <w:rPr>
          <w:rFonts w:eastAsia="Times New Roman" w:cstheme="minorHAnsi"/>
          <w:b/>
          <w:sz w:val="28"/>
          <w:szCs w:val="28"/>
          <w:lang w:eastAsia="en-GB"/>
        </w:rPr>
        <w:t xml:space="preserve">la Decizia de finanțare </w:t>
      </w:r>
      <w:r w:rsidR="00A40EA3" w:rsidRPr="00F77CF1">
        <w:rPr>
          <w:rFonts w:eastAsia="Times New Roman" w:cstheme="minorHAnsi"/>
          <w:b/>
          <w:sz w:val="28"/>
          <w:szCs w:val="28"/>
          <w:lang w:eastAsia="en-GB"/>
        </w:rPr>
        <w:t>-</w:t>
      </w:r>
      <w:r w:rsidR="006C1CF1" w:rsidRPr="00F77CF1">
        <w:rPr>
          <w:rFonts w:eastAsia="Times New Roman" w:cstheme="minorHAnsi"/>
          <w:b/>
          <w:sz w:val="28"/>
          <w:szCs w:val="28"/>
          <w:lang w:eastAsia="en-GB"/>
        </w:rPr>
        <w:t xml:space="preserve"> </w:t>
      </w:r>
      <w:r w:rsidRPr="00F77CF1">
        <w:rPr>
          <w:rFonts w:eastAsia="Times New Roman" w:cstheme="minorHAnsi"/>
          <w:b/>
          <w:sz w:val="28"/>
          <w:szCs w:val="28"/>
          <w:lang w:eastAsia="en-GB"/>
        </w:rPr>
        <w:t>Condiții specifice</w:t>
      </w:r>
      <w:r w:rsidR="00D14C8F" w:rsidRPr="00F77CF1">
        <w:rPr>
          <w:rFonts w:eastAsia="Times New Roman" w:cstheme="minorHAnsi"/>
          <w:b/>
          <w:sz w:val="28"/>
          <w:szCs w:val="28"/>
          <w:lang w:eastAsia="en-GB"/>
        </w:rPr>
        <w:t xml:space="preserve"> </w:t>
      </w:r>
      <w:r w:rsidRPr="00F77CF1">
        <w:rPr>
          <w:rFonts w:eastAsia="Times New Roman" w:cstheme="minorHAnsi"/>
          <w:b/>
          <w:sz w:val="28"/>
          <w:szCs w:val="28"/>
          <w:lang w:eastAsia="en-GB"/>
        </w:rPr>
        <w:t>aplicabile</w:t>
      </w:r>
      <w:r w:rsidR="006C4722" w:rsidRPr="00F77CF1">
        <w:rPr>
          <w:rFonts w:eastAsia="Times New Roman" w:cstheme="minorHAnsi"/>
          <w:b/>
          <w:sz w:val="28"/>
          <w:szCs w:val="28"/>
          <w:lang w:eastAsia="en-GB"/>
        </w:rPr>
        <w:t xml:space="preserve"> Priorității 7</w:t>
      </w:r>
      <w:r w:rsidR="008A2E12">
        <w:rPr>
          <w:rFonts w:eastAsia="Times New Roman" w:cstheme="minorHAnsi"/>
          <w:b/>
          <w:sz w:val="28"/>
          <w:szCs w:val="28"/>
          <w:lang w:eastAsia="en-GB"/>
        </w:rPr>
        <w:t xml:space="preserve">                  </w:t>
      </w:r>
      <w:r w:rsidR="006C4722" w:rsidRPr="00F77CF1">
        <w:rPr>
          <w:rFonts w:eastAsia="Times New Roman" w:cstheme="minorHAnsi"/>
          <w:b/>
          <w:sz w:val="28"/>
          <w:szCs w:val="28"/>
          <w:lang w:eastAsia="en-GB"/>
        </w:rPr>
        <w:t>Asistență tehnică a</w:t>
      </w:r>
      <w:r w:rsidR="002446CB" w:rsidRPr="00F77CF1">
        <w:rPr>
          <w:rFonts w:eastAsia="Times New Roman" w:cstheme="minorHAnsi"/>
          <w:b/>
          <w:sz w:val="28"/>
          <w:szCs w:val="28"/>
          <w:lang w:eastAsia="en-GB"/>
        </w:rPr>
        <w:t xml:space="preserve"> </w:t>
      </w:r>
      <w:r w:rsidRPr="00F77CF1">
        <w:rPr>
          <w:rFonts w:eastAsia="Times New Roman" w:cstheme="minorHAnsi"/>
          <w:b/>
          <w:sz w:val="28"/>
          <w:szCs w:val="28"/>
          <w:lang w:eastAsia="en-GB"/>
        </w:rPr>
        <w:t>Programului Regional Sud-Est 2021-2027</w:t>
      </w:r>
    </w:p>
    <w:p w14:paraId="714CD694" w14:textId="77777777" w:rsidR="00962AFA" w:rsidRPr="00F77CF1" w:rsidRDefault="00962AFA" w:rsidP="002D37D7">
      <w:pPr>
        <w:spacing w:before="120" w:after="120" w:line="240" w:lineRule="auto"/>
        <w:jc w:val="both"/>
        <w:rPr>
          <w:rFonts w:eastAsia="Times New Roman" w:cstheme="minorHAnsi"/>
          <w:b/>
          <w:sz w:val="28"/>
          <w:szCs w:val="28"/>
          <w:lang w:eastAsia="en-GB"/>
        </w:rPr>
      </w:pPr>
    </w:p>
    <w:p w14:paraId="4B8861EA" w14:textId="77777777" w:rsidR="00D14C8F" w:rsidRPr="00F77CF1" w:rsidRDefault="00D14C8F" w:rsidP="00D14C8F">
      <w:pPr>
        <w:pStyle w:val="Default"/>
        <w:jc w:val="both"/>
        <w:rPr>
          <w:rFonts w:asciiTheme="minorHAnsi" w:hAnsiTheme="minorHAnsi" w:cstheme="minorHAnsi"/>
          <w:sz w:val="22"/>
          <w:szCs w:val="22"/>
        </w:rPr>
      </w:pPr>
      <w:r w:rsidRPr="00F77CF1">
        <w:rPr>
          <w:rFonts w:asciiTheme="minorHAnsi" w:hAnsiTheme="minorHAnsi" w:cstheme="minorHAnsi"/>
          <w:b/>
          <w:bCs/>
          <w:sz w:val="22"/>
          <w:szCs w:val="22"/>
        </w:rPr>
        <w:t xml:space="preserve">Precizările prealabile </w:t>
      </w:r>
    </w:p>
    <w:p w14:paraId="4A21187C" w14:textId="359E2506" w:rsidR="00D14C8F" w:rsidRPr="00F77CF1" w:rsidRDefault="00D14C8F" w:rsidP="00D14C8F">
      <w:pPr>
        <w:pStyle w:val="Default"/>
        <w:spacing w:after="39"/>
        <w:jc w:val="both"/>
        <w:rPr>
          <w:rFonts w:asciiTheme="minorHAnsi" w:hAnsiTheme="minorHAnsi" w:cstheme="minorHAnsi"/>
          <w:sz w:val="22"/>
          <w:szCs w:val="22"/>
        </w:rPr>
      </w:pPr>
      <w:r w:rsidRPr="00F77CF1">
        <w:rPr>
          <w:rFonts w:asciiTheme="minorHAnsi" w:hAnsiTheme="minorHAnsi" w:cstheme="minorHAnsi"/>
          <w:sz w:val="22"/>
          <w:szCs w:val="22"/>
        </w:rPr>
        <w:t xml:space="preserve">(1) Prezenta </w:t>
      </w:r>
      <w:r w:rsidR="007D353D">
        <w:rPr>
          <w:rFonts w:asciiTheme="minorHAnsi" w:hAnsiTheme="minorHAnsi" w:cstheme="minorHAnsi"/>
          <w:sz w:val="22"/>
          <w:szCs w:val="22"/>
        </w:rPr>
        <w:t>D</w:t>
      </w:r>
      <w:r w:rsidRPr="00F77CF1">
        <w:rPr>
          <w:rFonts w:asciiTheme="minorHAnsi" w:hAnsiTheme="minorHAnsi" w:cstheme="minorHAnsi"/>
          <w:sz w:val="22"/>
          <w:szCs w:val="22"/>
        </w:rPr>
        <w:t>ecizie de finanţare stabileşte cadrul juridic general în care se va desfaşura relaţia contractuală dintre AM</w:t>
      </w:r>
      <w:r w:rsidR="006C4722" w:rsidRPr="00F77CF1">
        <w:rPr>
          <w:rFonts w:asciiTheme="minorHAnsi" w:hAnsiTheme="minorHAnsi" w:cstheme="minorHAnsi"/>
          <w:sz w:val="22"/>
          <w:szCs w:val="22"/>
        </w:rPr>
        <w:t xml:space="preserve"> </w:t>
      </w:r>
      <w:r w:rsidRPr="00F77CF1">
        <w:rPr>
          <w:rFonts w:asciiTheme="minorHAnsi" w:hAnsiTheme="minorHAnsi" w:cstheme="minorHAnsi"/>
          <w:sz w:val="22"/>
          <w:szCs w:val="22"/>
        </w:rPr>
        <w:t>şi Beneficiar</w:t>
      </w:r>
      <w:r w:rsidR="00EA722B" w:rsidRPr="00F77CF1">
        <w:rPr>
          <w:rFonts w:asciiTheme="minorHAnsi" w:hAnsiTheme="minorHAnsi" w:cstheme="minorHAnsi"/>
          <w:sz w:val="22"/>
          <w:szCs w:val="22"/>
        </w:rPr>
        <w:t xml:space="preserve">ul Priorității </w:t>
      </w:r>
      <w:r w:rsidR="006C1CF1" w:rsidRPr="00F77CF1">
        <w:rPr>
          <w:rFonts w:asciiTheme="minorHAnsi" w:hAnsiTheme="minorHAnsi" w:cstheme="minorHAnsi"/>
          <w:sz w:val="22"/>
          <w:szCs w:val="22"/>
        </w:rPr>
        <w:t>7</w:t>
      </w:r>
      <w:r w:rsidR="008A2E12">
        <w:rPr>
          <w:rFonts w:asciiTheme="minorHAnsi" w:hAnsiTheme="minorHAnsi" w:cstheme="minorHAnsi"/>
          <w:sz w:val="22"/>
          <w:szCs w:val="22"/>
        </w:rPr>
        <w:t xml:space="preserve"> </w:t>
      </w:r>
      <w:r w:rsidR="006C1CF1" w:rsidRPr="00F77CF1">
        <w:rPr>
          <w:rFonts w:asciiTheme="minorHAnsi" w:hAnsiTheme="minorHAnsi" w:cstheme="minorHAnsi"/>
          <w:sz w:val="22"/>
          <w:szCs w:val="22"/>
        </w:rPr>
        <w:t>-</w:t>
      </w:r>
      <w:r w:rsidR="00EA722B" w:rsidRPr="00F77CF1">
        <w:rPr>
          <w:rFonts w:asciiTheme="minorHAnsi" w:hAnsiTheme="minorHAnsi" w:cstheme="minorHAnsi"/>
          <w:sz w:val="22"/>
          <w:szCs w:val="22"/>
        </w:rPr>
        <w:t xml:space="preserve"> Asistență Tehnică a Programului Regional Sud-Est 2021-2027.</w:t>
      </w:r>
    </w:p>
    <w:p w14:paraId="72B53C03" w14:textId="0E3B8829" w:rsidR="00D14C8F" w:rsidRPr="00F77CF1" w:rsidRDefault="00D14C8F" w:rsidP="00D14C8F">
      <w:pPr>
        <w:pStyle w:val="Default"/>
        <w:spacing w:after="39"/>
        <w:jc w:val="both"/>
        <w:rPr>
          <w:rFonts w:asciiTheme="minorHAnsi" w:hAnsiTheme="minorHAnsi" w:cstheme="minorHAnsi"/>
          <w:sz w:val="22"/>
          <w:szCs w:val="22"/>
        </w:rPr>
      </w:pPr>
      <w:r w:rsidRPr="00F77CF1">
        <w:rPr>
          <w:rFonts w:asciiTheme="minorHAnsi" w:hAnsiTheme="minorHAnsi" w:cstheme="minorHAnsi"/>
          <w:sz w:val="22"/>
          <w:szCs w:val="22"/>
        </w:rPr>
        <w:t xml:space="preserve">(2) Condițiile generale ale </w:t>
      </w:r>
      <w:r w:rsidR="007D353D">
        <w:rPr>
          <w:rFonts w:asciiTheme="minorHAnsi" w:hAnsiTheme="minorHAnsi" w:cstheme="minorHAnsi"/>
          <w:sz w:val="22"/>
          <w:szCs w:val="22"/>
        </w:rPr>
        <w:t>D</w:t>
      </w:r>
      <w:r w:rsidRPr="00F77CF1">
        <w:rPr>
          <w:rFonts w:asciiTheme="minorHAnsi" w:hAnsiTheme="minorHAnsi" w:cstheme="minorHAnsi"/>
          <w:sz w:val="22"/>
          <w:szCs w:val="22"/>
        </w:rPr>
        <w:t xml:space="preserve">eciziei de finanțare sunt completate cu prezentele </w:t>
      </w:r>
      <w:r w:rsidR="00B2721C">
        <w:rPr>
          <w:rFonts w:asciiTheme="minorHAnsi" w:hAnsiTheme="minorHAnsi" w:cstheme="minorHAnsi"/>
          <w:sz w:val="22"/>
          <w:szCs w:val="22"/>
        </w:rPr>
        <w:t>C</w:t>
      </w:r>
      <w:r w:rsidRPr="00F77CF1">
        <w:rPr>
          <w:rFonts w:asciiTheme="minorHAnsi" w:hAnsiTheme="minorHAnsi" w:cstheme="minorHAnsi"/>
          <w:sz w:val="22"/>
          <w:szCs w:val="22"/>
        </w:rPr>
        <w:t xml:space="preserve">ondiții specifice. </w:t>
      </w:r>
    </w:p>
    <w:p w14:paraId="2DCC3FAB" w14:textId="744F1A1A" w:rsidR="00D14C8F" w:rsidRPr="00F77CF1" w:rsidRDefault="00D14C8F" w:rsidP="00D14C8F">
      <w:pPr>
        <w:pStyle w:val="Default"/>
        <w:jc w:val="both"/>
        <w:rPr>
          <w:rFonts w:asciiTheme="minorHAnsi" w:hAnsiTheme="minorHAnsi" w:cstheme="minorHAnsi"/>
          <w:sz w:val="22"/>
          <w:szCs w:val="22"/>
        </w:rPr>
      </w:pPr>
      <w:r w:rsidRPr="00F77CF1">
        <w:rPr>
          <w:rFonts w:asciiTheme="minorHAnsi" w:hAnsiTheme="minorHAnsi" w:cstheme="minorHAnsi"/>
          <w:sz w:val="22"/>
          <w:szCs w:val="22"/>
        </w:rPr>
        <w:t xml:space="preserve">(3) În cazul unor prevederi contradictorii între </w:t>
      </w:r>
      <w:r w:rsidR="007D353D">
        <w:rPr>
          <w:rFonts w:asciiTheme="minorHAnsi" w:hAnsiTheme="minorHAnsi" w:cstheme="minorHAnsi"/>
          <w:sz w:val="22"/>
          <w:szCs w:val="22"/>
        </w:rPr>
        <w:t>C</w:t>
      </w:r>
      <w:r w:rsidRPr="00F77CF1">
        <w:rPr>
          <w:rFonts w:asciiTheme="minorHAnsi" w:hAnsiTheme="minorHAnsi" w:cstheme="minorHAnsi"/>
          <w:sz w:val="22"/>
          <w:szCs w:val="22"/>
        </w:rPr>
        <w:t xml:space="preserve">ondițiile generale și </w:t>
      </w:r>
      <w:r w:rsidR="00B2721C">
        <w:rPr>
          <w:rFonts w:asciiTheme="minorHAnsi" w:hAnsiTheme="minorHAnsi" w:cstheme="minorHAnsi"/>
          <w:sz w:val="22"/>
          <w:szCs w:val="22"/>
        </w:rPr>
        <w:t>C</w:t>
      </w:r>
      <w:r w:rsidRPr="00F77CF1">
        <w:rPr>
          <w:rFonts w:asciiTheme="minorHAnsi" w:hAnsiTheme="minorHAnsi" w:cstheme="minorHAnsi"/>
          <w:sz w:val="22"/>
          <w:szCs w:val="22"/>
        </w:rPr>
        <w:t xml:space="preserve">ondițiile specifice prevalează acestea din urmă. </w:t>
      </w:r>
    </w:p>
    <w:p w14:paraId="6ECA4608" w14:textId="6B5F693F" w:rsidR="00EA722B" w:rsidRPr="00F77CF1" w:rsidRDefault="00EA722B" w:rsidP="00D14C8F">
      <w:pPr>
        <w:pStyle w:val="Default"/>
        <w:jc w:val="both"/>
        <w:rPr>
          <w:rFonts w:asciiTheme="minorHAnsi" w:hAnsiTheme="minorHAnsi" w:cstheme="minorHAnsi"/>
          <w:sz w:val="22"/>
          <w:szCs w:val="22"/>
        </w:rPr>
      </w:pPr>
      <w:r w:rsidRPr="00F77CF1">
        <w:rPr>
          <w:rFonts w:asciiTheme="minorHAnsi" w:hAnsiTheme="minorHAnsi" w:cstheme="minorHAnsi"/>
          <w:sz w:val="22"/>
          <w:szCs w:val="22"/>
        </w:rPr>
        <w:t>(</w:t>
      </w:r>
      <w:r w:rsidR="00E7476F">
        <w:rPr>
          <w:rFonts w:asciiTheme="minorHAnsi" w:hAnsiTheme="minorHAnsi" w:cstheme="minorHAnsi"/>
          <w:sz w:val="22"/>
          <w:szCs w:val="22"/>
        </w:rPr>
        <w:t>4</w:t>
      </w:r>
      <w:r w:rsidRPr="00F77CF1">
        <w:rPr>
          <w:rFonts w:asciiTheme="minorHAnsi" w:hAnsiTheme="minorHAnsi" w:cstheme="minorHAnsi"/>
          <w:sz w:val="22"/>
          <w:szCs w:val="22"/>
        </w:rPr>
        <w:t>) În situația în care lansarea apelurilor de proiecte</w:t>
      </w:r>
      <w:r w:rsidRPr="00116136">
        <w:rPr>
          <w:rFonts w:asciiTheme="minorHAnsi" w:hAnsiTheme="minorHAnsi" w:cstheme="minorHAnsi"/>
          <w:sz w:val="22"/>
          <w:szCs w:val="22"/>
        </w:rPr>
        <w:t xml:space="preserve">, </w:t>
      </w:r>
      <w:r w:rsidRPr="00F36D5F">
        <w:rPr>
          <w:rFonts w:asciiTheme="minorHAnsi" w:hAnsiTheme="minorHAnsi" w:cstheme="minorHAnsi"/>
          <w:sz w:val="22"/>
          <w:szCs w:val="22"/>
        </w:rPr>
        <w:t xml:space="preserve">depunerea cererii de finanțare, emiterea </w:t>
      </w:r>
      <w:r w:rsidR="007D353D" w:rsidRPr="00F36D5F">
        <w:rPr>
          <w:rFonts w:asciiTheme="minorHAnsi" w:hAnsiTheme="minorHAnsi" w:cstheme="minorHAnsi"/>
          <w:sz w:val="22"/>
          <w:szCs w:val="22"/>
        </w:rPr>
        <w:t>D</w:t>
      </w:r>
      <w:r w:rsidRPr="00F36D5F">
        <w:rPr>
          <w:rFonts w:asciiTheme="minorHAnsi" w:hAnsiTheme="minorHAnsi" w:cstheme="minorHAnsi"/>
          <w:sz w:val="22"/>
          <w:szCs w:val="22"/>
        </w:rPr>
        <w:t>eciziei de finanțare și implementarea proiectului</w:t>
      </w:r>
      <w:r w:rsidRPr="00F77CF1">
        <w:rPr>
          <w:rFonts w:asciiTheme="minorHAnsi" w:hAnsiTheme="minorHAnsi" w:cstheme="minorHAnsi"/>
          <w:sz w:val="22"/>
          <w:szCs w:val="22"/>
        </w:rPr>
        <w:t xml:space="preserve"> se realizează înainte de operaționalizarea </w:t>
      </w:r>
      <w:r w:rsidR="00116136" w:rsidRPr="00E7476F">
        <w:rPr>
          <w:rFonts w:asciiTheme="minorHAnsi" w:hAnsiTheme="minorHAnsi" w:cstheme="minorHAnsi"/>
          <w:sz w:val="22"/>
          <w:szCs w:val="22"/>
        </w:rPr>
        <w:t xml:space="preserve">modulelelor specifice </w:t>
      </w:r>
      <w:r w:rsidR="0046452F" w:rsidRPr="00E7476F">
        <w:rPr>
          <w:rFonts w:asciiTheme="minorHAnsi" w:hAnsiTheme="minorHAnsi" w:cstheme="minorHAnsi"/>
          <w:sz w:val="22"/>
          <w:szCs w:val="22"/>
        </w:rPr>
        <w:t>ale</w:t>
      </w:r>
      <w:r w:rsidR="0046452F">
        <w:rPr>
          <w:rFonts w:asciiTheme="minorHAnsi" w:hAnsiTheme="minorHAnsi" w:cstheme="minorHAnsi"/>
          <w:sz w:val="22"/>
          <w:szCs w:val="22"/>
        </w:rPr>
        <w:t xml:space="preserve"> </w:t>
      </w:r>
      <w:r w:rsidRPr="00F77CF1">
        <w:rPr>
          <w:rFonts w:asciiTheme="minorHAnsi" w:hAnsiTheme="minorHAnsi" w:cstheme="minorHAnsi"/>
          <w:sz w:val="22"/>
          <w:szCs w:val="22"/>
        </w:rPr>
        <w:t xml:space="preserve">sistemului informatic MySMIS2021/SMIS2021+, </w:t>
      </w:r>
      <w:r w:rsidR="004C5E0F" w:rsidRPr="00F77CF1">
        <w:rPr>
          <w:rFonts w:asciiTheme="minorHAnsi" w:hAnsiTheme="minorHAnsi" w:cstheme="minorHAnsi"/>
          <w:sz w:val="22"/>
          <w:szCs w:val="22"/>
        </w:rPr>
        <w:t>apelu</w:t>
      </w:r>
      <w:r w:rsidR="00E7476F" w:rsidRPr="00E7476F">
        <w:rPr>
          <w:rFonts w:asciiTheme="minorHAnsi" w:hAnsiTheme="minorHAnsi" w:cstheme="minorHAnsi"/>
          <w:sz w:val="22"/>
          <w:szCs w:val="22"/>
        </w:rPr>
        <w:t>l</w:t>
      </w:r>
      <w:r w:rsidR="004C5E0F" w:rsidRPr="00F77CF1">
        <w:rPr>
          <w:rFonts w:asciiTheme="minorHAnsi" w:hAnsiTheme="minorHAnsi" w:cstheme="minorHAnsi"/>
          <w:sz w:val="22"/>
          <w:szCs w:val="22"/>
        </w:rPr>
        <w:t xml:space="preserve"> </w:t>
      </w:r>
      <w:r w:rsidRPr="00F77CF1">
        <w:rPr>
          <w:rFonts w:asciiTheme="minorHAnsi" w:hAnsiTheme="minorHAnsi" w:cstheme="minorHAnsi"/>
          <w:sz w:val="22"/>
          <w:szCs w:val="22"/>
        </w:rPr>
        <w:t xml:space="preserve">de proiecte/operațiunile prevăzute a fi derulate prin sistemul informatic MySMIS2021/SMIS2021+, </w:t>
      </w:r>
      <w:r w:rsidR="00E7476F">
        <w:rPr>
          <w:rFonts w:asciiTheme="minorHAnsi" w:hAnsiTheme="minorHAnsi" w:cstheme="minorHAnsi"/>
          <w:sz w:val="22"/>
          <w:szCs w:val="22"/>
        </w:rPr>
        <w:t>va/</w:t>
      </w:r>
      <w:r w:rsidRPr="00F77CF1">
        <w:rPr>
          <w:rFonts w:asciiTheme="minorHAnsi" w:hAnsiTheme="minorHAnsi" w:cstheme="minorHAnsi"/>
          <w:sz w:val="22"/>
          <w:szCs w:val="22"/>
        </w:rPr>
        <w:t>vor fi derulate prin sistemul informatic MySMIS2014/ SMIS2014+, urmând ca Autoritatea de Management să asigure transferul informațiilor și documentelor aferente proiectelor depuse/selectate/în implementare în sistemul informatic MySMIS2021/SMIS2021+, după operaționalizarea acestuia, în termen de 90 de zile calendaristice de la data operaționalizării.</w:t>
      </w:r>
    </w:p>
    <w:p w14:paraId="33C30826" w14:textId="77777777" w:rsidR="002D37D7" w:rsidRPr="00F77CF1" w:rsidRDefault="002D37D7" w:rsidP="002D37D7">
      <w:pPr>
        <w:spacing w:after="0" w:line="240" w:lineRule="auto"/>
        <w:jc w:val="center"/>
        <w:rPr>
          <w:rFonts w:eastAsia="Times New Roman" w:cstheme="minorHAnsi"/>
          <w:b/>
          <w:lang w:eastAsia="de-DE"/>
        </w:rPr>
      </w:pPr>
    </w:p>
    <w:p w14:paraId="5C1C7464" w14:textId="05C8B315" w:rsidR="002D37D7" w:rsidRPr="00F77CF1" w:rsidRDefault="002D37D7" w:rsidP="002D37D7">
      <w:pPr>
        <w:spacing w:after="0" w:line="240" w:lineRule="auto"/>
        <w:jc w:val="both"/>
        <w:rPr>
          <w:rFonts w:eastAsia="Times New Roman" w:cstheme="minorHAnsi"/>
          <w:lang w:eastAsia="de-DE"/>
        </w:rPr>
      </w:pPr>
      <w:r w:rsidRPr="00F77CF1">
        <w:rPr>
          <w:rFonts w:eastAsia="Times New Roman" w:cstheme="minorHAnsi"/>
          <w:b/>
          <w:lang w:eastAsia="de-DE"/>
        </w:rPr>
        <w:t>Articolul 1 -</w:t>
      </w:r>
      <w:r w:rsidRPr="00F77CF1">
        <w:rPr>
          <w:rFonts w:eastAsia="Times New Roman" w:cstheme="minorHAnsi"/>
          <w:lang w:eastAsia="de-DE"/>
        </w:rPr>
        <w:t xml:space="preserve"> </w:t>
      </w:r>
      <w:r w:rsidRPr="00F77CF1">
        <w:rPr>
          <w:rFonts w:eastAsia="Times New Roman" w:cstheme="minorHAnsi"/>
          <w:b/>
          <w:lang w:eastAsia="de-DE"/>
        </w:rPr>
        <w:t xml:space="preserve">Completarea Condițiilor generale privind durata </w:t>
      </w:r>
      <w:r w:rsidR="007D353D">
        <w:rPr>
          <w:rFonts w:eastAsia="Times New Roman" w:cstheme="minorHAnsi"/>
          <w:b/>
          <w:lang w:eastAsia="de-DE"/>
        </w:rPr>
        <w:t>D</w:t>
      </w:r>
      <w:r w:rsidRPr="00F77CF1">
        <w:rPr>
          <w:rFonts w:eastAsia="Times New Roman" w:cstheme="minorHAnsi"/>
          <w:b/>
          <w:lang w:eastAsia="de-DE"/>
        </w:rPr>
        <w:t>eciziei</w:t>
      </w:r>
      <w:r w:rsidR="007D353D">
        <w:rPr>
          <w:rFonts w:eastAsia="Times New Roman" w:cstheme="minorHAnsi"/>
          <w:b/>
          <w:lang w:eastAsia="de-DE"/>
        </w:rPr>
        <w:t xml:space="preserve"> de finanțare</w:t>
      </w:r>
      <w:r w:rsidRPr="00F77CF1">
        <w:rPr>
          <w:rFonts w:eastAsia="Times New Roman" w:cstheme="minorHAnsi"/>
          <w:lang w:eastAsia="de-DE"/>
        </w:rPr>
        <w:t xml:space="preserve">: </w:t>
      </w:r>
    </w:p>
    <w:p w14:paraId="02CDEF06" w14:textId="3E3B99CF" w:rsidR="00EA722B" w:rsidRPr="00962AFA" w:rsidRDefault="002D37D7" w:rsidP="00263A24">
      <w:pPr>
        <w:pStyle w:val="ListParagraph"/>
        <w:numPr>
          <w:ilvl w:val="0"/>
          <w:numId w:val="13"/>
        </w:numPr>
        <w:jc w:val="both"/>
        <w:rPr>
          <w:rFonts w:asciiTheme="minorHAnsi" w:hAnsiTheme="minorHAnsi" w:cstheme="minorHAnsi"/>
        </w:rPr>
      </w:pPr>
      <w:r w:rsidRPr="00F77CF1">
        <w:rPr>
          <w:rFonts w:asciiTheme="minorHAnsi" w:hAnsiTheme="minorHAnsi" w:cstheme="minorHAnsi"/>
        </w:rPr>
        <w:t xml:space="preserve"> </w:t>
      </w:r>
      <w:proofErr w:type="spellStart"/>
      <w:r w:rsidR="00EA722B" w:rsidRPr="00F77CF1">
        <w:rPr>
          <w:rFonts w:asciiTheme="minorHAnsi" w:hAnsiTheme="minorHAnsi" w:cstheme="minorHAnsi"/>
        </w:rPr>
        <w:t>În</w:t>
      </w:r>
      <w:proofErr w:type="spellEnd"/>
      <w:r w:rsidR="00EA722B" w:rsidRPr="00F77CF1">
        <w:rPr>
          <w:rFonts w:asciiTheme="minorHAnsi" w:hAnsiTheme="minorHAnsi" w:cstheme="minorHAnsi"/>
        </w:rPr>
        <w:t xml:space="preserve"> </w:t>
      </w:r>
      <w:proofErr w:type="spellStart"/>
      <w:r w:rsidR="00EA722B" w:rsidRPr="00F77CF1">
        <w:rPr>
          <w:rFonts w:asciiTheme="minorHAnsi" w:hAnsiTheme="minorHAnsi" w:cstheme="minorHAnsi"/>
        </w:rPr>
        <w:t>ceea</w:t>
      </w:r>
      <w:proofErr w:type="spellEnd"/>
      <w:r w:rsidR="00EA722B" w:rsidRPr="00F77CF1">
        <w:rPr>
          <w:rFonts w:asciiTheme="minorHAnsi" w:hAnsiTheme="minorHAnsi" w:cstheme="minorHAnsi"/>
        </w:rPr>
        <w:t xml:space="preserve"> </w:t>
      </w:r>
      <w:proofErr w:type="spellStart"/>
      <w:r w:rsidR="00EA722B" w:rsidRPr="00F77CF1">
        <w:rPr>
          <w:rFonts w:asciiTheme="minorHAnsi" w:hAnsiTheme="minorHAnsi" w:cstheme="minorHAnsi"/>
        </w:rPr>
        <w:t>ce</w:t>
      </w:r>
      <w:proofErr w:type="spellEnd"/>
      <w:r w:rsidR="00EA722B" w:rsidRPr="00F77CF1">
        <w:rPr>
          <w:rFonts w:asciiTheme="minorHAnsi" w:hAnsiTheme="minorHAnsi" w:cstheme="minorHAnsi"/>
        </w:rPr>
        <w:t xml:space="preserve"> </w:t>
      </w:r>
      <w:proofErr w:type="spellStart"/>
      <w:r w:rsidR="00EA722B" w:rsidRPr="00F77CF1">
        <w:rPr>
          <w:rFonts w:asciiTheme="minorHAnsi" w:hAnsiTheme="minorHAnsi" w:cstheme="minorHAnsi"/>
        </w:rPr>
        <w:t>privește</w:t>
      </w:r>
      <w:proofErr w:type="spellEnd"/>
      <w:r w:rsidR="00EA722B" w:rsidRPr="00F77CF1">
        <w:rPr>
          <w:rFonts w:asciiTheme="minorHAnsi" w:hAnsiTheme="minorHAnsi" w:cstheme="minorHAnsi"/>
        </w:rPr>
        <w:t xml:space="preserve"> </w:t>
      </w:r>
      <w:proofErr w:type="spellStart"/>
      <w:r w:rsidR="00263A24">
        <w:rPr>
          <w:rFonts w:asciiTheme="minorHAnsi" w:hAnsiTheme="minorHAnsi" w:cstheme="minorHAnsi"/>
        </w:rPr>
        <w:t>bunurile</w:t>
      </w:r>
      <w:proofErr w:type="spellEnd"/>
      <w:r w:rsidR="00263A24">
        <w:rPr>
          <w:rFonts w:asciiTheme="minorHAnsi" w:hAnsiTheme="minorHAnsi" w:cstheme="minorHAnsi"/>
        </w:rPr>
        <w:t xml:space="preserve"> </w:t>
      </w:r>
      <w:proofErr w:type="spellStart"/>
      <w:r w:rsidR="00263A24">
        <w:rPr>
          <w:rFonts w:asciiTheme="minorHAnsi" w:hAnsiTheme="minorHAnsi" w:cstheme="minorHAnsi"/>
        </w:rPr>
        <w:t>achiziționate</w:t>
      </w:r>
      <w:proofErr w:type="spellEnd"/>
      <w:r w:rsidR="00263A24">
        <w:rPr>
          <w:rFonts w:asciiTheme="minorHAnsi" w:hAnsiTheme="minorHAnsi" w:cstheme="minorHAnsi"/>
        </w:rPr>
        <w:t xml:space="preserve"> </w:t>
      </w:r>
      <w:proofErr w:type="spellStart"/>
      <w:r w:rsidR="00263A24">
        <w:rPr>
          <w:rFonts w:asciiTheme="minorHAnsi" w:hAnsiTheme="minorHAnsi" w:cstheme="minorHAnsi"/>
        </w:rPr>
        <w:t>în</w:t>
      </w:r>
      <w:proofErr w:type="spellEnd"/>
      <w:r w:rsidR="00263A24">
        <w:rPr>
          <w:rFonts w:asciiTheme="minorHAnsi" w:hAnsiTheme="minorHAnsi" w:cstheme="minorHAnsi"/>
        </w:rPr>
        <w:t xml:space="preserve"> </w:t>
      </w:r>
      <w:proofErr w:type="spellStart"/>
      <w:r w:rsidR="00263A24">
        <w:rPr>
          <w:rFonts w:asciiTheme="minorHAnsi" w:hAnsiTheme="minorHAnsi" w:cstheme="minorHAnsi"/>
        </w:rPr>
        <w:t>cadrul</w:t>
      </w:r>
      <w:proofErr w:type="spellEnd"/>
      <w:r w:rsidR="00263A24">
        <w:rPr>
          <w:rFonts w:asciiTheme="minorHAnsi" w:hAnsiTheme="minorHAnsi" w:cstheme="minorHAnsi"/>
        </w:rPr>
        <w:t xml:space="preserve"> </w:t>
      </w:r>
      <w:proofErr w:type="spellStart"/>
      <w:r w:rsidR="00263A24">
        <w:rPr>
          <w:rFonts w:asciiTheme="minorHAnsi" w:hAnsiTheme="minorHAnsi" w:cstheme="minorHAnsi"/>
        </w:rPr>
        <w:t>proiectului</w:t>
      </w:r>
      <w:proofErr w:type="spellEnd"/>
      <w:r w:rsidR="00263A24">
        <w:rPr>
          <w:rFonts w:asciiTheme="minorHAnsi" w:hAnsiTheme="minorHAnsi" w:cstheme="minorHAnsi"/>
        </w:rPr>
        <w:t xml:space="preserve"> (</w:t>
      </w:r>
      <w:proofErr w:type="spellStart"/>
      <w:r w:rsidR="00263A24">
        <w:rPr>
          <w:rFonts w:asciiTheme="minorHAnsi" w:hAnsiTheme="minorHAnsi" w:cstheme="minorHAnsi"/>
        </w:rPr>
        <w:t>obiecte</w:t>
      </w:r>
      <w:proofErr w:type="spellEnd"/>
      <w:r w:rsidR="00263A24">
        <w:rPr>
          <w:rFonts w:asciiTheme="minorHAnsi" w:hAnsiTheme="minorHAnsi" w:cstheme="minorHAnsi"/>
        </w:rPr>
        <w:t xml:space="preserve"> de </w:t>
      </w:r>
      <w:proofErr w:type="spellStart"/>
      <w:r w:rsidR="00263A24">
        <w:rPr>
          <w:rFonts w:asciiTheme="minorHAnsi" w:hAnsiTheme="minorHAnsi" w:cstheme="minorHAnsi"/>
        </w:rPr>
        <w:t>inventar</w:t>
      </w:r>
      <w:proofErr w:type="spellEnd"/>
      <w:r w:rsidR="00263A24">
        <w:rPr>
          <w:rFonts w:asciiTheme="minorHAnsi" w:hAnsiTheme="minorHAnsi" w:cstheme="minorHAnsi"/>
        </w:rPr>
        <w:t xml:space="preserve">, </w:t>
      </w:r>
      <w:proofErr w:type="spellStart"/>
      <w:r w:rsidR="00263A24">
        <w:rPr>
          <w:rFonts w:asciiTheme="minorHAnsi" w:hAnsiTheme="minorHAnsi" w:cstheme="minorHAnsi"/>
        </w:rPr>
        <w:t>mijloace</w:t>
      </w:r>
      <w:proofErr w:type="spellEnd"/>
      <w:r w:rsidR="00263A24">
        <w:rPr>
          <w:rFonts w:asciiTheme="minorHAnsi" w:hAnsiTheme="minorHAnsi" w:cstheme="minorHAnsi"/>
        </w:rPr>
        <w:t xml:space="preserve"> fixe)</w:t>
      </w:r>
      <w:r w:rsidR="00EA722B" w:rsidRPr="00F77CF1">
        <w:rPr>
          <w:rFonts w:asciiTheme="minorHAnsi" w:hAnsiTheme="minorHAnsi" w:cstheme="minorHAnsi"/>
        </w:rPr>
        <w:t xml:space="preserve">, </w:t>
      </w:r>
      <w:proofErr w:type="spellStart"/>
      <w:r w:rsidR="00EA722B" w:rsidRPr="00F77CF1">
        <w:rPr>
          <w:rFonts w:asciiTheme="minorHAnsi" w:hAnsiTheme="minorHAnsi" w:cstheme="minorHAnsi"/>
        </w:rPr>
        <w:t>beneficiarul</w:t>
      </w:r>
      <w:proofErr w:type="spellEnd"/>
      <w:r w:rsidR="00EA722B" w:rsidRPr="00F77CF1">
        <w:rPr>
          <w:rFonts w:asciiTheme="minorHAnsi" w:hAnsiTheme="minorHAnsi" w:cstheme="minorHAnsi"/>
        </w:rPr>
        <w:t xml:space="preserve"> are </w:t>
      </w:r>
      <w:proofErr w:type="spellStart"/>
      <w:r w:rsidR="00EA722B" w:rsidRPr="00F77CF1">
        <w:rPr>
          <w:rFonts w:asciiTheme="minorHAnsi" w:hAnsiTheme="minorHAnsi" w:cstheme="minorHAnsi"/>
        </w:rPr>
        <w:t>obligația</w:t>
      </w:r>
      <w:proofErr w:type="spellEnd"/>
      <w:r w:rsidR="00EA722B" w:rsidRPr="00F77CF1">
        <w:rPr>
          <w:rFonts w:asciiTheme="minorHAnsi" w:hAnsiTheme="minorHAnsi" w:cstheme="minorHAnsi"/>
        </w:rPr>
        <w:t xml:space="preserve"> de </w:t>
      </w:r>
      <w:proofErr w:type="gramStart"/>
      <w:r w:rsidR="00EA722B" w:rsidRPr="00F77CF1">
        <w:rPr>
          <w:rFonts w:asciiTheme="minorHAnsi" w:hAnsiTheme="minorHAnsi" w:cstheme="minorHAnsi"/>
        </w:rPr>
        <w:t>a</w:t>
      </w:r>
      <w:proofErr w:type="gramEnd"/>
      <w:r w:rsidR="00EA722B" w:rsidRPr="00F77CF1">
        <w:rPr>
          <w:rFonts w:asciiTheme="minorHAnsi" w:hAnsiTheme="minorHAnsi" w:cstheme="minorHAnsi"/>
        </w:rPr>
        <w:t xml:space="preserve"> </w:t>
      </w:r>
      <w:proofErr w:type="spellStart"/>
      <w:r w:rsidR="00EA722B" w:rsidRPr="00F77CF1">
        <w:rPr>
          <w:rFonts w:asciiTheme="minorHAnsi" w:hAnsiTheme="minorHAnsi" w:cstheme="minorHAnsi"/>
        </w:rPr>
        <w:t>asigura</w:t>
      </w:r>
      <w:proofErr w:type="spellEnd"/>
      <w:r w:rsidR="00EA722B" w:rsidRPr="00F77CF1">
        <w:rPr>
          <w:rFonts w:asciiTheme="minorHAnsi" w:hAnsiTheme="minorHAnsi" w:cstheme="minorHAnsi"/>
        </w:rPr>
        <w:t xml:space="preserve"> </w:t>
      </w:r>
      <w:proofErr w:type="spellStart"/>
      <w:r w:rsidR="00EA722B" w:rsidRPr="00F77CF1">
        <w:rPr>
          <w:rFonts w:asciiTheme="minorHAnsi" w:hAnsiTheme="minorHAnsi" w:cstheme="minorHAnsi"/>
        </w:rPr>
        <w:t>funcționalitatea</w:t>
      </w:r>
      <w:proofErr w:type="spellEnd"/>
      <w:r w:rsidR="00EA722B" w:rsidRPr="00F77CF1">
        <w:rPr>
          <w:rFonts w:asciiTheme="minorHAnsi" w:hAnsiTheme="minorHAnsi" w:cstheme="minorHAnsi"/>
        </w:rPr>
        <w:t xml:space="preserve"> </w:t>
      </w:r>
      <w:proofErr w:type="spellStart"/>
      <w:r w:rsidR="00EA722B" w:rsidRPr="00F77CF1">
        <w:rPr>
          <w:rFonts w:asciiTheme="minorHAnsi" w:hAnsiTheme="minorHAnsi" w:cstheme="minorHAnsi"/>
        </w:rPr>
        <w:t>acestora</w:t>
      </w:r>
      <w:proofErr w:type="spellEnd"/>
      <w:r w:rsidR="00EA722B" w:rsidRPr="00F77CF1">
        <w:rPr>
          <w:rFonts w:asciiTheme="minorHAnsi" w:hAnsiTheme="minorHAnsi" w:cstheme="minorHAnsi"/>
        </w:rPr>
        <w:t xml:space="preserve">, de a </w:t>
      </w:r>
      <w:proofErr w:type="spellStart"/>
      <w:r w:rsidR="00EA722B" w:rsidRPr="00F77CF1">
        <w:rPr>
          <w:rFonts w:asciiTheme="minorHAnsi" w:hAnsiTheme="minorHAnsi" w:cstheme="minorHAnsi"/>
        </w:rPr>
        <w:t>nu</w:t>
      </w:r>
      <w:proofErr w:type="spellEnd"/>
      <w:r w:rsidR="00EA722B" w:rsidRPr="00F77CF1">
        <w:rPr>
          <w:rFonts w:asciiTheme="minorHAnsi" w:hAnsiTheme="minorHAnsi" w:cstheme="minorHAnsi"/>
        </w:rPr>
        <w:t xml:space="preserve"> le </w:t>
      </w:r>
      <w:proofErr w:type="spellStart"/>
      <w:r w:rsidR="00EA722B" w:rsidRPr="00F77CF1">
        <w:rPr>
          <w:rFonts w:asciiTheme="minorHAnsi" w:hAnsiTheme="minorHAnsi" w:cstheme="minorHAnsi"/>
        </w:rPr>
        <w:t>înstrăina</w:t>
      </w:r>
      <w:proofErr w:type="spellEnd"/>
      <w:r w:rsidR="00EA722B" w:rsidRPr="00F77CF1">
        <w:rPr>
          <w:rFonts w:asciiTheme="minorHAnsi" w:hAnsiTheme="minorHAnsi" w:cstheme="minorHAnsi"/>
        </w:rPr>
        <w:t xml:space="preserve"> </w:t>
      </w:r>
      <w:proofErr w:type="spellStart"/>
      <w:r w:rsidR="00EA722B" w:rsidRPr="00F77CF1">
        <w:rPr>
          <w:rFonts w:asciiTheme="minorHAnsi" w:hAnsiTheme="minorHAnsi" w:cstheme="minorHAnsi"/>
        </w:rPr>
        <w:t>și</w:t>
      </w:r>
      <w:proofErr w:type="spellEnd"/>
      <w:r w:rsidR="00EA722B" w:rsidRPr="00F77CF1">
        <w:rPr>
          <w:rFonts w:asciiTheme="minorHAnsi" w:hAnsiTheme="minorHAnsi" w:cstheme="minorHAnsi"/>
        </w:rPr>
        <w:t xml:space="preserve"> de a </w:t>
      </w:r>
      <w:proofErr w:type="spellStart"/>
      <w:r w:rsidR="00EA722B" w:rsidRPr="00F77CF1">
        <w:rPr>
          <w:rFonts w:asciiTheme="minorHAnsi" w:hAnsiTheme="minorHAnsi" w:cstheme="minorHAnsi"/>
        </w:rPr>
        <w:t>nu</w:t>
      </w:r>
      <w:proofErr w:type="spellEnd"/>
      <w:r w:rsidR="00EA722B" w:rsidRPr="00F77CF1">
        <w:rPr>
          <w:rFonts w:asciiTheme="minorHAnsi" w:hAnsiTheme="minorHAnsi" w:cstheme="minorHAnsi"/>
        </w:rPr>
        <w:t xml:space="preserve"> le </w:t>
      </w:r>
      <w:proofErr w:type="spellStart"/>
      <w:r w:rsidR="00EA722B" w:rsidRPr="00F77CF1">
        <w:rPr>
          <w:rFonts w:asciiTheme="minorHAnsi" w:hAnsiTheme="minorHAnsi" w:cstheme="minorHAnsi"/>
        </w:rPr>
        <w:t>închiria</w:t>
      </w:r>
      <w:proofErr w:type="spellEnd"/>
      <w:r w:rsidR="00EA722B" w:rsidRPr="00F77CF1">
        <w:rPr>
          <w:rFonts w:asciiTheme="minorHAnsi" w:hAnsiTheme="minorHAnsi" w:cstheme="minorHAnsi"/>
        </w:rPr>
        <w:t xml:space="preserve"> </w:t>
      </w:r>
      <w:proofErr w:type="spellStart"/>
      <w:r w:rsidR="00EA722B" w:rsidRPr="00F77CF1">
        <w:rPr>
          <w:rFonts w:asciiTheme="minorHAnsi" w:hAnsiTheme="minorHAnsi" w:cstheme="minorHAnsi"/>
        </w:rPr>
        <w:t>în</w:t>
      </w:r>
      <w:proofErr w:type="spellEnd"/>
      <w:r w:rsidR="00EA722B" w:rsidRPr="00F77CF1">
        <w:rPr>
          <w:rFonts w:asciiTheme="minorHAnsi" w:hAnsiTheme="minorHAnsi" w:cstheme="minorHAnsi"/>
        </w:rPr>
        <w:t xml:space="preserve"> </w:t>
      </w:r>
      <w:proofErr w:type="spellStart"/>
      <w:r w:rsidR="00EA722B" w:rsidRPr="00F77CF1">
        <w:rPr>
          <w:rFonts w:asciiTheme="minorHAnsi" w:hAnsiTheme="minorHAnsi" w:cstheme="minorHAnsi"/>
        </w:rPr>
        <w:t>perioada</w:t>
      </w:r>
      <w:proofErr w:type="spellEnd"/>
      <w:r w:rsidR="00EA722B" w:rsidRPr="00F77CF1">
        <w:rPr>
          <w:rFonts w:asciiTheme="minorHAnsi" w:hAnsiTheme="minorHAnsi" w:cstheme="minorHAnsi"/>
        </w:rPr>
        <w:t xml:space="preserve"> de </w:t>
      </w:r>
      <w:proofErr w:type="spellStart"/>
      <w:r w:rsidR="00EA722B" w:rsidRPr="00F77CF1">
        <w:rPr>
          <w:rFonts w:asciiTheme="minorHAnsi" w:hAnsiTheme="minorHAnsi" w:cstheme="minorHAnsi"/>
        </w:rPr>
        <w:t>implementare</w:t>
      </w:r>
      <w:proofErr w:type="spellEnd"/>
      <w:r w:rsidR="00EA722B" w:rsidRPr="00F77CF1">
        <w:rPr>
          <w:rFonts w:asciiTheme="minorHAnsi" w:hAnsiTheme="minorHAnsi" w:cstheme="minorHAnsi"/>
        </w:rPr>
        <w:t xml:space="preserve"> a </w:t>
      </w:r>
      <w:proofErr w:type="spellStart"/>
      <w:r w:rsidR="00EA722B" w:rsidRPr="00F77CF1">
        <w:rPr>
          <w:rFonts w:asciiTheme="minorHAnsi" w:hAnsiTheme="minorHAnsi" w:cstheme="minorHAnsi"/>
        </w:rPr>
        <w:t>proiectului</w:t>
      </w:r>
      <w:proofErr w:type="spellEnd"/>
      <w:r w:rsidR="00EA722B" w:rsidRPr="00F77CF1">
        <w:rPr>
          <w:rFonts w:asciiTheme="minorHAnsi" w:hAnsiTheme="minorHAnsi" w:cstheme="minorHAnsi"/>
        </w:rPr>
        <w:t>.</w:t>
      </w:r>
    </w:p>
    <w:p w14:paraId="79674D54" w14:textId="77777777" w:rsidR="002D37D7" w:rsidRPr="00F77CF1" w:rsidRDefault="002D37D7" w:rsidP="002D37D7">
      <w:pPr>
        <w:spacing w:after="0" w:line="240" w:lineRule="auto"/>
        <w:jc w:val="both"/>
        <w:rPr>
          <w:rFonts w:eastAsia="Times New Roman" w:cstheme="minorHAnsi"/>
          <w:lang w:eastAsia="de-DE"/>
        </w:rPr>
      </w:pPr>
      <w:r w:rsidRPr="00F77CF1">
        <w:rPr>
          <w:rFonts w:eastAsia="Times New Roman" w:cstheme="minorHAnsi"/>
          <w:b/>
          <w:lang w:eastAsia="de-DE"/>
        </w:rPr>
        <w:t>Articolul 2 -</w:t>
      </w:r>
      <w:r w:rsidRPr="00F77CF1">
        <w:rPr>
          <w:rFonts w:eastAsia="Times New Roman" w:cstheme="minorHAnsi"/>
          <w:lang w:eastAsia="de-DE"/>
        </w:rPr>
        <w:t xml:space="preserve"> </w:t>
      </w:r>
      <w:r w:rsidRPr="00F77CF1">
        <w:rPr>
          <w:rFonts w:eastAsia="Times New Roman" w:cstheme="minorHAnsi"/>
          <w:b/>
          <w:lang w:eastAsia="de-DE"/>
        </w:rPr>
        <w:t>Completarea Condițiilor generale privind eligibilitatea cheltuielilor</w:t>
      </w:r>
      <w:r w:rsidRPr="00F77CF1">
        <w:rPr>
          <w:rFonts w:eastAsia="Times New Roman" w:cstheme="minorHAnsi"/>
          <w:lang w:eastAsia="de-DE"/>
        </w:rPr>
        <w:t xml:space="preserve">: </w:t>
      </w:r>
    </w:p>
    <w:p w14:paraId="0B0E87DB" w14:textId="420CD08A" w:rsidR="002D37D7" w:rsidRPr="00F77CF1" w:rsidRDefault="002D37D7" w:rsidP="00F77CF1">
      <w:pPr>
        <w:pStyle w:val="ListParagraph"/>
        <w:numPr>
          <w:ilvl w:val="1"/>
          <w:numId w:val="13"/>
        </w:numPr>
        <w:spacing w:after="0" w:line="240" w:lineRule="auto"/>
        <w:ind w:hanging="360"/>
        <w:jc w:val="both"/>
        <w:rPr>
          <w:rFonts w:cstheme="minorHAnsi"/>
        </w:rPr>
      </w:pPr>
      <w:proofErr w:type="spellStart"/>
      <w:r w:rsidRPr="00F77CF1">
        <w:rPr>
          <w:rFonts w:cstheme="minorHAnsi"/>
        </w:rPr>
        <w:t>Cheltuielile</w:t>
      </w:r>
      <w:proofErr w:type="spellEnd"/>
      <w:r w:rsidRPr="00F77CF1">
        <w:rPr>
          <w:rFonts w:cstheme="minorHAnsi"/>
        </w:rPr>
        <w:t xml:space="preserve"> sunt considerate </w:t>
      </w:r>
      <w:proofErr w:type="spellStart"/>
      <w:r w:rsidRPr="00F77CF1">
        <w:rPr>
          <w:rFonts w:cstheme="minorHAnsi"/>
        </w:rPr>
        <w:t>eligibile</w:t>
      </w:r>
      <w:proofErr w:type="spellEnd"/>
      <w:r w:rsidRPr="00F77CF1">
        <w:rPr>
          <w:rFonts w:cstheme="minorHAnsi"/>
        </w:rPr>
        <w:t xml:space="preserve"> </w:t>
      </w:r>
      <w:proofErr w:type="spellStart"/>
      <w:r w:rsidRPr="00F77CF1">
        <w:rPr>
          <w:rFonts w:cstheme="minorHAnsi"/>
        </w:rPr>
        <w:t>dacă</w:t>
      </w:r>
      <w:proofErr w:type="spellEnd"/>
      <w:r w:rsidRPr="00F77CF1">
        <w:rPr>
          <w:rFonts w:cstheme="minorHAnsi"/>
        </w:rPr>
        <w:t xml:space="preserve"> sunt </w:t>
      </w:r>
      <w:proofErr w:type="spellStart"/>
      <w:r w:rsidRPr="00F77CF1">
        <w:rPr>
          <w:rFonts w:cstheme="minorHAnsi"/>
        </w:rPr>
        <w:t>în</w:t>
      </w:r>
      <w:proofErr w:type="spellEnd"/>
      <w:r w:rsidRPr="00F77CF1">
        <w:rPr>
          <w:rFonts w:cstheme="minorHAnsi"/>
        </w:rPr>
        <w:t xml:space="preserve"> </w:t>
      </w:r>
      <w:proofErr w:type="spellStart"/>
      <w:r w:rsidRPr="00F77CF1">
        <w:rPr>
          <w:rFonts w:cstheme="minorHAnsi"/>
        </w:rPr>
        <w:t>conformitate</w:t>
      </w:r>
      <w:proofErr w:type="spellEnd"/>
      <w:r w:rsidRPr="00F77CF1">
        <w:rPr>
          <w:rFonts w:cstheme="minorHAnsi"/>
        </w:rPr>
        <w:t xml:space="preserve"> cu:</w:t>
      </w:r>
    </w:p>
    <w:p w14:paraId="477E853F" w14:textId="427072D9" w:rsidR="002D37D7" w:rsidRPr="00F77CF1" w:rsidRDefault="002D37D7" w:rsidP="002D37D7">
      <w:pPr>
        <w:numPr>
          <w:ilvl w:val="0"/>
          <w:numId w:val="14"/>
        </w:numPr>
        <w:spacing w:after="0" w:line="240" w:lineRule="auto"/>
        <w:jc w:val="both"/>
        <w:rPr>
          <w:rFonts w:eastAsia="Times New Roman" w:cstheme="minorHAnsi"/>
          <w:shd w:val="clear" w:color="auto" w:fill="FFFFFF"/>
          <w:lang w:eastAsia="de-DE"/>
        </w:rPr>
      </w:pPr>
      <w:r w:rsidRPr="00F77CF1">
        <w:rPr>
          <w:rFonts w:eastAsia="Times New Roman" w:cstheme="minorHAnsi"/>
          <w:shd w:val="clear" w:color="auto" w:fill="FFFFFF"/>
          <w:lang w:eastAsia="de-DE"/>
        </w:rPr>
        <w:t>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p>
    <w:p w14:paraId="5BCA8D90" w14:textId="77777777" w:rsidR="002D37D7" w:rsidRPr="00F77CF1" w:rsidRDefault="002D37D7" w:rsidP="002D37D7">
      <w:pPr>
        <w:numPr>
          <w:ilvl w:val="0"/>
          <w:numId w:val="14"/>
        </w:numPr>
        <w:spacing w:after="0" w:line="240" w:lineRule="auto"/>
        <w:jc w:val="both"/>
        <w:rPr>
          <w:rFonts w:eastAsia="Times New Roman" w:cstheme="minorHAnsi"/>
          <w:shd w:val="clear" w:color="auto" w:fill="FFFFFF"/>
          <w:lang w:eastAsia="de-DE"/>
        </w:rPr>
      </w:pPr>
      <w:r w:rsidRPr="00F77CF1">
        <w:rPr>
          <w:rFonts w:eastAsia="Times New Roman" w:cstheme="minorHAnsi"/>
          <w:shd w:val="clear" w:color="auto" w:fill="FFFFFF"/>
          <w:lang w:eastAsia="de-DE"/>
        </w:rPr>
        <w:t>Regulamentul (UE) 2021/1.058 al Parlamentului European şi al Consiliului din 24 iunie 2021 privind Fondul european de dezvoltare regională şi Fondul de coeziune;</w:t>
      </w:r>
    </w:p>
    <w:p w14:paraId="04A5B8B0" w14:textId="19686328" w:rsidR="002D37D7" w:rsidRPr="00F77CF1" w:rsidRDefault="002D37D7" w:rsidP="002D37D7">
      <w:pPr>
        <w:numPr>
          <w:ilvl w:val="0"/>
          <w:numId w:val="14"/>
        </w:numPr>
        <w:spacing w:after="0" w:line="240" w:lineRule="auto"/>
        <w:jc w:val="both"/>
        <w:rPr>
          <w:rFonts w:eastAsia="Times New Roman" w:cstheme="minorHAnsi"/>
          <w:lang w:eastAsia="de-DE"/>
        </w:rPr>
      </w:pPr>
      <w:r w:rsidRPr="00F77CF1">
        <w:rPr>
          <w:rFonts w:eastAsia="Times New Roman" w:cstheme="minorHAnsi"/>
          <w:shd w:val="clear" w:color="auto" w:fill="FFFFFF"/>
          <w:lang w:eastAsia="de-DE"/>
        </w:rPr>
        <w:t xml:space="preserve">Regulamentul (UE, EURATOM) 2018/1.046 al Parlamentului European şi al Consiliului din 18 iunie 2018 privind normele financiare aplicabile bugetului general al Uniunii, de modificare a Regulamentelor (UE) nr. </w:t>
      </w:r>
      <w:r w:rsidR="00E7476F" w:rsidRPr="00F77CF1">
        <w:rPr>
          <w:rFonts w:eastAsia="Times New Roman" w:cstheme="minorHAnsi"/>
          <w:shd w:val="clear" w:color="auto" w:fill="FFFFFF"/>
          <w:lang w:eastAsia="de-DE"/>
        </w:rPr>
        <w:t>2013</w:t>
      </w:r>
      <w:r w:rsidRPr="00F77CF1">
        <w:rPr>
          <w:rFonts w:eastAsia="Times New Roman" w:cstheme="minorHAnsi"/>
          <w:shd w:val="clear" w:color="auto" w:fill="FFFFFF"/>
          <w:lang w:eastAsia="de-DE"/>
        </w:rPr>
        <w:t>/</w:t>
      </w:r>
      <w:r w:rsidR="00E7476F" w:rsidRPr="00F77CF1">
        <w:rPr>
          <w:rFonts w:eastAsia="Times New Roman" w:cstheme="minorHAnsi"/>
          <w:shd w:val="clear" w:color="auto" w:fill="FFFFFF"/>
          <w:lang w:eastAsia="de-DE"/>
        </w:rPr>
        <w:t>1.296</w:t>
      </w:r>
      <w:r w:rsidRPr="00F77CF1">
        <w:rPr>
          <w:rFonts w:eastAsia="Times New Roman" w:cstheme="minorHAnsi"/>
          <w:shd w:val="clear" w:color="auto" w:fill="FFFFFF"/>
          <w:lang w:eastAsia="de-DE"/>
        </w:rPr>
        <w:t xml:space="preserve">, (UE) nr. </w:t>
      </w:r>
      <w:r w:rsidR="00E7476F" w:rsidRPr="00F77CF1">
        <w:rPr>
          <w:rFonts w:eastAsia="Times New Roman" w:cstheme="minorHAnsi"/>
          <w:shd w:val="clear" w:color="auto" w:fill="FFFFFF"/>
          <w:lang w:eastAsia="de-DE"/>
        </w:rPr>
        <w:t>2013</w:t>
      </w:r>
      <w:r w:rsidRPr="00F77CF1">
        <w:rPr>
          <w:rFonts w:eastAsia="Times New Roman" w:cstheme="minorHAnsi"/>
          <w:shd w:val="clear" w:color="auto" w:fill="FFFFFF"/>
          <w:lang w:eastAsia="de-DE"/>
        </w:rPr>
        <w:t>/</w:t>
      </w:r>
      <w:r w:rsidR="00E7476F" w:rsidRPr="00F77CF1">
        <w:rPr>
          <w:rFonts w:eastAsia="Times New Roman" w:cstheme="minorHAnsi"/>
          <w:shd w:val="clear" w:color="auto" w:fill="FFFFFF"/>
          <w:lang w:eastAsia="de-DE"/>
        </w:rPr>
        <w:t>1.301</w:t>
      </w:r>
      <w:r w:rsidRPr="00F77CF1">
        <w:rPr>
          <w:rFonts w:eastAsia="Times New Roman" w:cstheme="minorHAnsi"/>
          <w:shd w:val="clear" w:color="auto" w:fill="FFFFFF"/>
          <w:lang w:eastAsia="de-DE"/>
        </w:rPr>
        <w:t xml:space="preserve">, (UE) nr. </w:t>
      </w:r>
      <w:r w:rsidR="00E7476F" w:rsidRPr="00F77CF1">
        <w:rPr>
          <w:rFonts w:eastAsia="Times New Roman" w:cstheme="minorHAnsi"/>
          <w:shd w:val="clear" w:color="auto" w:fill="FFFFFF"/>
          <w:lang w:eastAsia="de-DE"/>
        </w:rPr>
        <w:t>2013</w:t>
      </w:r>
      <w:r w:rsidRPr="00F77CF1">
        <w:rPr>
          <w:rFonts w:eastAsia="Times New Roman" w:cstheme="minorHAnsi"/>
          <w:shd w:val="clear" w:color="auto" w:fill="FFFFFF"/>
          <w:lang w:eastAsia="de-DE"/>
        </w:rPr>
        <w:t>/</w:t>
      </w:r>
      <w:r w:rsidR="00E7476F" w:rsidRPr="00F77CF1">
        <w:rPr>
          <w:rFonts w:eastAsia="Times New Roman" w:cstheme="minorHAnsi"/>
          <w:shd w:val="clear" w:color="auto" w:fill="FFFFFF"/>
          <w:lang w:eastAsia="de-DE"/>
        </w:rPr>
        <w:t>1.303</w:t>
      </w:r>
      <w:r w:rsidRPr="00F77CF1">
        <w:rPr>
          <w:rFonts w:eastAsia="Times New Roman" w:cstheme="minorHAnsi"/>
          <w:shd w:val="clear" w:color="auto" w:fill="FFFFFF"/>
          <w:lang w:eastAsia="de-DE"/>
        </w:rPr>
        <w:t xml:space="preserve">, (UE) nr. </w:t>
      </w:r>
      <w:r w:rsidR="00E7476F" w:rsidRPr="00F77CF1">
        <w:rPr>
          <w:rFonts w:eastAsia="Times New Roman" w:cstheme="minorHAnsi"/>
          <w:shd w:val="clear" w:color="auto" w:fill="FFFFFF"/>
          <w:lang w:eastAsia="de-DE"/>
        </w:rPr>
        <w:t>2013</w:t>
      </w:r>
      <w:r w:rsidRPr="00F77CF1">
        <w:rPr>
          <w:rFonts w:eastAsia="Times New Roman" w:cstheme="minorHAnsi"/>
          <w:shd w:val="clear" w:color="auto" w:fill="FFFFFF"/>
          <w:lang w:eastAsia="de-DE"/>
        </w:rPr>
        <w:t>/</w:t>
      </w:r>
      <w:r w:rsidR="00E7476F" w:rsidRPr="00F77CF1">
        <w:rPr>
          <w:rFonts w:eastAsia="Times New Roman" w:cstheme="minorHAnsi"/>
          <w:shd w:val="clear" w:color="auto" w:fill="FFFFFF"/>
          <w:lang w:eastAsia="de-DE"/>
        </w:rPr>
        <w:t>1.304</w:t>
      </w:r>
      <w:r w:rsidRPr="00F77CF1">
        <w:rPr>
          <w:rFonts w:eastAsia="Times New Roman" w:cstheme="minorHAnsi"/>
          <w:shd w:val="clear" w:color="auto" w:fill="FFFFFF"/>
          <w:lang w:eastAsia="de-DE"/>
        </w:rPr>
        <w:t xml:space="preserve">, (UE) nr. </w:t>
      </w:r>
      <w:r w:rsidR="00E7476F" w:rsidRPr="00F77CF1">
        <w:rPr>
          <w:rFonts w:eastAsia="Times New Roman" w:cstheme="minorHAnsi"/>
          <w:shd w:val="clear" w:color="auto" w:fill="FFFFFF"/>
          <w:lang w:eastAsia="de-DE"/>
        </w:rPr>
        <w:t>2013</w:t>
      </w:r>
      <w:r w:rsidRPr="00F77CF1">
        <w:rPr>
          <w:rFonts w:eastAsia="Times New Roman" w:cstheme="minorHAnsi"/>
          <w:shd w:val="clear" w:color="auto" w:fill="FFFFFF"/>
          <w:lang w:eastAsia="de-DE"/>
        </w:rPr>
        <w:t>/</w:t>
      </w:r>
      <w:r w:rsidR="00E7476F" w:rsidRPr="00F77CF1">
        <w:rPr>
          <w:rFonts w:eastAsia="Times New Roman" w:cstheme="minorHAnsi"/>
          <w:shd w:val="clear" w:color="auto" w:fill="FFFFFF"/>
          <w:lang w:eastAsia="de-DE"/>
        </w:rPr>
        <w:t>1.309</w:t>
      </w:r>
      <w:r w:rsidRPr="00F77CF1">
        <w:rPr>
          <w:rFonts w:eastAsia="Times New Roman" w:cstheme="minorHAnsi"/>
          <w:shd w:val="clear" w:color="auto" w:fill="FFFFFF"/>
          <w:lang w:eastAsia="de-DE"/>
        </w:rPr>
        <w:t xml:space="preserve">, (UE) nr. </w:t>
      </w:r>
      <w:r w:rsidR="00E7476F" w:rsidRPr="00F77CF1">
        <w:rPr>
          <w:rFonts w:eastAsia="Times New Roman" w:cstheme="minorHAnsi"/>
          <w:shd w:val="clear" w:color="auto" w:fill="FFFFFF"/>
          <w:lang w:eastAsia="de-DE"/>
        </w:rPr>
        <w:t>2013</w:t>
      </w:r>
      <w:r w:rsidRPr="00F77CF1">
        <w:rPr>
          <w:rFonts w:eastAsia="Times New Roman" w:cstheme="minorHAnsi"/>
          <w:shd w:val="clear" w:color="auto" w:fill="FFFFFF"/>
          <w:lang w:eastAsia="de-DE"/>
        </w:rPr>
        <w:t>/</w:t>
      </w:r>
      <w:r w:rsidR="00E7476F" w:rsidRPr="00F77CF1">
        <w:rPr>
          <w:rFonts w:eastAsia="Times New Roman" w:cstheme="minorHAnsi"/>
          <w:shd w:val="clear" w:color="auto" w:fill="FFFFFF"/>
          <w:lang w:eastAsia="de-DE"/>
        </w:rPr>
        <w:t>1.316</w:t>
      </w:r>
      <w:r w:rsidRPr="00F77CF1">
        <w:rPr>
          <w:rFonts w:eastAsia="Times New Roman" w:cstheme="minorHAnsi"/>
          <w:shd w:val="clear" w:color="auto" w:fill="FFFFFF"/>
          <w:lang w:eastAsia="de-DE"/>
        </w:rPr>
        <w:t xml:space="preserve">, (UE) nr. </w:t>
      </w:r>
      <w:r w:rsidR="00E7476F" w:rsidRPr="00F77CF1">
        <w:rPr>
          <w:rFonts w:eastAsia="Times New Roman" w:cstheme="minorHAnsi"/>
          <w:shd w:val="clear" w:color="auto" w:fill="FFFFFF"/>
          <w:lang w:eastAsia="de-DE"/>
        </w:rPr>
        <w:t>2014</w:t>
      </w:r>
      <w:r w:rsidRPr="00F77CF1">
        <w:rPr>
          <w:rFonts w:eastAsia="Times New Roman" w:cstheme="minorHAnsi"/>
          <w:shd w:val="clear" w:color="auto" w:fill="FFFFFF"/>
          <w:lang w:eastAsia="de-DE"/>
        </w:rPr>
        <w:t>/</w:t>
      </w:r>
      <w:r w:rsidR="00E7476F" w:rsidRPr="00F77CF1">
        <w:rPr>
          <w:rFonts w:eastAsia="Times New Roman" w:cstheme="minorHAnsi"/>
          <w:shd w:val="clear" w:color="auto" w:fill="FFFFFF"/>
          <w:lang w:eastAsia="de-DE"/>
        </w:rPr>
        <w:t>223</w:t>
      </w:r>
      <w:r w:rsidRPr="00F77CF1">
        <w:rPr>
          <w:rFonts w:eastAsia="Times New Roman" w:cstheme="minorHAnsi"/>
          <w:shd w:val="clear" w:color="auto" w:fill="FFFFFF"/>
          <w:lang w:eastAsia="de-DE"/>
        </w:rPr>
        <w:t xml:space="preserve">, (UE) nr. </w:t>
      </w:r>
      <w:r w:rsidR="00E7476F" w:rsidRPr="00F77CF1">
        <w:rPr>
          <w:rFonts w:eastAsia="Times New Roman" w:cstheme="minorHAnsi"/>
          <w:shd w:val="clear" w:color="auto" w:fill="FFFFFF"/>
          <w:lang w:eastAsia="de-DE"/>
        </w:rPr>
        <w:t>2014</w:t>
      </w:r>
      <w:r w:rsidRPr="00F77CF1">
        <w:rPr>
          <w:rFonts w:eastAsia="Times New Roman" w:cstheme="minorHAnsi"/>
          <w:shd w:val="clear" w:color="auto" w:fill="FFFFFF"/>
          <w:lang w:eastAsia="de-DE"/>
        </w:rPr>
        <w:t>/</w:t>
      </w:r>
      <w:r w:rsidR="00E7476F" w:rsidRPr="00F77CF1">
        <w:rPr>
          <w:rFonts w:eastAsia="Times New Roman" w:cstheme="minorHAnsi"/>
          <w:shd w:val="clear" w:color="auto" w:fill="FFFFFF"/>
          <w:lang w:eastAsia="de-DE"/>
        </w:rPr>
        <w:t>283</w:t>
      </w:r>
      <w:r w:rsidRPr="00F77CF1">
        <w:rPr>
          <w:rFonts w:eastAsia="Times New Roman" w:cstheme="minorHAnsi"/>
          <w:shd w:val="clear" w:color="auto" w:fill="FFFFFF"/>
          <w:lang w:eastAsia="de-DE"/>
        </w:rPr>
        <w:t>;</w:t>
      </w:r>
      <w:r w:rsidRPr="00F77CF1">
        <w:rPr>
          <w:rFonts w:eastAsia="Times New Roman" w:cstheme="minorHAnsi"/>
          <w:lang w:eastAsia="de-DE"/>
        </w:rPr>
        <w:t xml:space="preserve"> </w:t>
      </w:r>
    </w:p>
    <w:p w14:paraId="64AAF693" w14:textId="1A0E6EE7" w:rsidR="002D37D7" w:rsidRPr="00F77CF1" w:rsidRDefault="002D37D7" w:rsidP="002D37D7">
      <w:pPr>
        <w:numPr>
          <w:ilvl w:val="0"/>
          <w:numId w:val="14"/>
        </w:numPr>
        <w:spacing w:after="0" w:line="240" w:lineRule="auto"/>
        <w:jc w:val="both"/>
        <w:rPr>
          <w:rFonts w:eastAsia="Times New Roman" w:cstheme="minorHAnsi"/>
          <w:shd w:val="clear" w:color="auto" w:fill="FFFFFF"/>
          <w:lang w:eastAsia="de-DE"/>
        </w:rPr>
      </w:pPr>
      <w:r w:rsidRPr="00F77CF1">
        <w:rPr>
          <w:rFonts w:eastAsia="Times New Roman" w:cstheme="minorHAnsi"/>
          <w:lang w:eastAsia="de-DE"/>
        </w:rPr>
        <w:t xml:space="preserve">Hotărârea Guvernului nr. 873/2022 </w:t>
      </w:r>
      <w:r w:rsidRPr="00F77CF1">
        <w:rPr>
          <w:rFonts w:eastAsia="Times New Roman" w:cstheme="minorHAnsi"/>
          <w:shd w:val="clear" w:color="auto" w:fill="FFFFFF"/>
          <w:lang w:eastAsia="de-DE"/>
        </w:rPr>
        <w:t>pentru stabilirea cadrului legal privind eligibilitatea cheltuielilor efectuate de beneficiari în cadrul operaţiunilor finanţate în perioada de</w:t>
      </w:r>
      <w:r w:rsidR="00962AFA">
        <w:rPr>
          <w:rFonts w:eastAsia="Times New Roman" w:cstheme="minorHAnsi"/>
          <w:shd w:val="clear" w:color="auto" w:fill="FFFFFF"/>
          <w:lang w:eastAsia="de-DE"/>
        </w:rPr>
        <w:t xml:space="preserve"> </w:t>
      </w:r>
      <w:r w:rsidRPr="00F77CF1">
        <w:rPr>
          <w:rFonts w:eastAsia="Times New Roman" w:cstheme="minorHAnsi"/>
          <w:shd w:val="clear" w:color="auto" w:fill="FFFFFF"/>
          <w:lang w:eastAsia="de-DE"/>
        </w:rPr>
        <w:t>programare 2021-2027 prin Fondul european de dezvoltare regională, Fondul social european Plus, Fondul de coeziune şi Fondul pentru o tranziţie justă;</w:t>
      </w:r>
    </w:p>
    <w:p w14:paraId="0510E123" w14:textId="0982549E" w:rsidR="00D14C8F" w:rsidRPr="00F77CF1" w:rsidRDefault="00D14C8F" w:rsidP="002D37D7">
      <w:pPr>
        <w:numPr>
          <w:ilvl w:val="0"/>
          <w:numId w:val="14"/>
        </w:numPr>
        <w:spacing w:after="0" w:line="240" w:lineRule="auto"/>
        <w:jc w:val="both"/>
        <w:rPr>
          <w:rFonts w:eastAsia="Times New Roman" w:cstheme="minorHAnsi"/>
          <w:shd w:val="clear" w:color="auto" w:fill="FFFFFF"/>
          <w:lang w:eastAsia="de-DE"/>
        </w:rPr>
      </w:pPr>
      <w:r w:rsidRPr="00F77CF1">
        <w:rPr>
          <w:rFonts w:eastAsia="Times New Roman" w:cstheme="minorHAnsi"/>
          <w:shd w:val="clear" w:color="auto" w:fill="FFFFFF"/>
          <w:lang w:eastAsia="de-DE"/>
        </w:rPr>
        <w:lastRenderedPageBreak/>
        <w:t>Ordonanța de urgență a Guvernului nr. 133/2021 privind gestionarea financiară a fondurilor europene pentru perioada de programare 2021 - 2027 alocate României din Fondul european de dezvoltare regională, Fondul de coeziune, Fondul social european Plus, Fondul pentru o Tranziție Justă</w:t>
      </w:r>
    </w:p>
    <w:p w14:paraId="0DC25FEA" w14:textId="30D7F3FF" w:rsidR="002D37D7" w:rsidRDefault="00F77CF1" w:rsidP="00D14C8F">
      <w:pPr>
        <w:numPr>
          <w:ilvl w:val="0"/>
          <w:numId w:val="14"/>
        </w:numPr>
        <w:spacing w:after="0" w:line="240" w:lineRule="auto"/>
        <w:jc w:val="both"/>
        <w:rPr>
          <w:rFonts w:eastAsia="Times New Roman" w:cstheme="minorHAnsi"/>
        </w:rPr>
      </w:pPr>
      <w:r w:rsidRPr="00F77CF1">
        <w:rPr>
          <w:rFonts w:eastAsia="Times New Roman" w:cstheme="minorHAnsi"/>
        </w:rPr>
        <w:t>Instrucțiunea AM privind acordarea sprijinului financiar în cadrul Priorității 7- Asistență tehnică</w:t>
      </w:r>
      <w:r>
        <w:rPr>
          <w:rFonts w:eastAsia="Times New Roman" w:cstheme="minorHAnsi"/>
        </w:rPr>
        <w:t xml:space="preserve"> </w:t>
      </w:r>
      <w:r w:rsidR="002D37D7" w:rsidRPr="00F77CF1">
        <w:rPr>
          <w:rFonts w:eastAsia="Times New Roman" w:cstheme="minorHAnsi"/>
        </w:rPr>
        <w:t>aprobat</w:t>
      </w:r>
      <w:r w:rsidR="00D14C8F" w:rsidRPr="00F77CF1">
        <w:rPr>
          <w:rFonts w:eastAsia="Times New Roman" w:cstheme="minorHAnsi"/>
        </w:rPr>
        <w:t>e</w:t>
      </w:r>
      <w:r w:rsidR="002D37D7" w:rsidRPr="00F77CF1">
        <w:rPr>
          <w:rFonts w:eastAsia="Times New Roman" w:cstheme="minorHAnsi"/>
        </w:rPr>
        <w:t xml:space="preserve"> prin D</w:t>
      </w:r>
      <w:r w:rsidR="00D14C8F" w:rsidRPr="00F77CF1">
        <w:rPr>
          <w:rFonts w:eastAsia="Times New Roman" w:cstheme="minorHAnsi"/>
        </w:rPr>
        <w:t>ecizia</w:t>
      </w:r>
      <w:r w:rsidR="002D37D7" w:rsidRPr="00F77CF1">
        <w:rPr>
          <w:rFonts w:eastAsia="Times New Roman" w:cstheme="minorHAnsi"/>
        </w:rPr>
        <w:t xml:space="preserve"> </w:t>
      </w:r>
      <w:r w:rsidR="00125FCC">
        <w:rPr>
          <w:rFonts w:eastAsia="Times New Roman" w:cstheme="minorHAnsi"/>
        </w:rPr>
        <w:t>Șefului AM PR SE</w:t>
      </w:r>
      <w:r w:rsidR="002D37D7" w:rsidRPr="00F77CF1">
        <w:rPr>
          <w:rFonts w:eastAsia="Times New Roman" w:cstheme="minorHAnsi"/>
        </w:rPr>
        <w:t xml:space="preserve"> nr</w:t>
      </w:r>
      <w:r w:rsidR="002D37D7" w:rsidRPr="00F77CF1">
        <w:rPr>
          <w:rFonts w:eastAsia="Times New Roman" w:cstheme="minorHAnsi"/>
          <w:highlight w:val="yellow"/>
        </w:rPr>
        <w:t>……….</w:t>
      </w:r>
      <w:r w:rsidR="002D37D7" w:rsidRPr="00F77CF1">
        <w:rPr>
          <w:rFonts w:eastAsia="Times New Roman" w:cstheme="minorHAnsi"/>
        </w:rPr>
        <w:t xml:space="preserve"> </w:t>
      </w:r>
    </w:p>
    <w:p w14:paraId="13CDE05A" w14:textId="4401A0DA" w:rsidR="00F77CF1" w:rsidRPr="00F77CF1" w:rsidRDefault="00F77CF1" w:rsidP="00D14C8F">
      <w:pPr>
        <w:numPr>
          <w:ilvl w:val="0"/>
          <w:numId w:val="14"/>
        </w:numPr>
        <w:spacing w:after="0" w:line="240" w:lineRule="auto"/>
        <w:jc w:val="both"/>
        <w:rPr>
          <w:rFonts w:eastAsia="Times New Roman" w:cstheme="minorHAnsi"/>
        </w:rPr>
      </w:pPr>
      <w:r>
        <w:rPr>
          <w:rFonts w:eastAsia="Times New Roman" w:cstheme="minorHAnsi"/>
        </w:rPr>
        <w:t>Alte instrucțiuni AM</w:t>
      </w:r>
    </w:p>
    <w:p w14:paraId="33676610" w14:textId="7B693492" w:rsidR="00F77CF1" w:rsidRDefault="002D37D7" w:rsidP="00F77CF1">
      <w:pPr>
        <w:numPr>
          <w:ilvl w:val="0"/>
          <w:numId w:val="13"/>
        </w:numPr>
        <w:spacing w:after="200" w:line="240" w:lineRule="auto"/>
        <w:contextualSpacing/>
        <w:jc w:val="both"/>
        <w:rPr>
          <w:rFonts w:eastAsia="Times New Roman" w:cstheme="minorHAnsi"/>
          <w:lang w:val="en-US"/>
        </w:rPr>
      </w:pPr>
      <w:r w:rsidRPr="00F77CF1">
        <w:rPr>
          <w:rFonts w:eastAsia="Times New Roman" w:cstheme="minorHAnsi"/>
        </w:rPr>
        <w:t xml:space="preserve"> În cazul în care AM identifică cheltuieli care nu respectă condiţiile de legalitate, regularitate ori conformitate stabilite prin prevederile legislaţiei naţionale şi comunitare în vigoare, inclusiv în domeniul achizițiilor publice, în verificarea cererilor de rambursare/plată, înainte de efectuarea plăţilor aferente acestora, aplică reduceri procentuale/corecții financiare/ declară cheltuieli neeligibile din sumele solicitate la plată de către beneficiar, în condiţiile legii care reglementează sancţionarea neregulilor apărute în obţinerea şi utilizarea fondurilor europene şi/sau a fondurilor publice naţionale aferente acestora, în conformitate cu prevederile OUG nr. 66/2011 privind prevenirea, constatarea şi sancţionarea neregulilor apărute în obţinerea şi utilizarea fondurilor europene şi/sau a fondurilor publice naţionale aferente acestora, cu modificările și completările ulterioare</w:t>
      </w:r>
      <w:r w:rsidR="001342A9" w:rsidRPr="00F77CF1">
        <w:rPr>
          <w:rFonts w:eastAsia="Times New Roman" w:cstheme="minorHAnsi"/>
        </w:rPr>
        <w:t>,</w:t>
      </w:r>
      <w:r w:rsidRPr="00F77CF1">
        <w:rPr>
          <w:rFonts w:eastAsia="Times New Roman" w:cstheme="minorHAnsi"/>
        </w:rPr>
        <w:t xml:space="preserve"> AM va notifica beneficiarul cu privire la aceste sume.</w:t>
      </w:r>
    </w:p>
    <w:p w14:paraId="26540817" w14:textId="049EFE05" w:rsidR="00F77CF1" w:rsidRPr="008B3DFA" w:rsidRDefault="00EA722B" w:rsidP="00F77CF1">
      <w:pPr>
        <w:numPr>
          <w:ilvl w:val="0"/>
          <w:numId w:val="13"/>
        </w:numPr>
        <w:spacing w:after="200" w:line="240" w:lineRule="auto"/>
        <w:contextualSpacing/>
        <w:jc w:val="both"/>
        <w:rPr>
          <w:rFonts w:eastAsia="Times New Roman" w:cstheme="minorHAnsi"/>
          <w:lang w:val="en-US"/>
        </w:rPr>
      </w:pPr>
      <w:r w:rsidRPr="005C2A92">
        <w:rPr>
          <w:rFonts w:cstheme="minorHAnsi"/>
        </w:rPr>
        <w:t xml:space="preserve">Cheltuielile salariale realizate în cadrul proiectului se decontează în conformitate cu Lista cu </w:t>
      </w:r>
      <w:r w:rsidRPr="008B3DFA">
        <w:rPr>
          <w:rFonts w:cstheme="minorHAnsi"/>
        </w:rPr>
        <w:t xml:space="preserve">personalul angajat al beneficiarului, cu atribuții specifice implementării PR SE 2021-2027. </w:t>
      </w:r>
    </w:p>
    <w:p w14:paraId="0530C06E" w14:textId="282647C4" w:rsidR="00EA722B" w:rsidRPr="005C2A92" w:rsidRDefault="00EA722B" w:rsidP="00C06A14">
      <w:pPr>
        <w:numPr>
          <w:ilvl w:val="0"/>
          <w:numId w:val="13"/>
        </w:numPr>
        <w:spacing w:after="200" w:line="240" w:lineRule="auto"/>
        <w:contextualSpacing/>
        <w:jc w:val="both"/>
        <w:rPr>
          <w:rFonts w:eastAsia="Times New Roman" w:cstheme="minorHAnsi"/>
          <w:lang w:val="en-US"/>
        </w:rPr>
      </w:pPr>
      <w:r w:rsidRPr="00974649">
        <w:rPr>
          <w:rFonts w:cstheme="minorHAnsi"/>
        </w:rPr>
        <w:t>C</w:t>
      </w:r>
      <w:r w:rsidR="00456A84" w:rsidRPr="00974649">
        <w:rPr>
          <w:rFonts w:cstheme="minorHAnsi"/>
        </w:rPr>
        <w:t>osturile</w:t>
      </w:r>
      <w:r w:rsidRPr="005C2A92">
        <w:rPr>
          <w:rFonts w:cstheme="minorHAnsi"/>
        </w:rPr>
        <w:t xml:space="preserve"> indirecte</w:t>
      </w:r>
      <w:r w:rsidR="00CB520B" w:rsidRPr="005C2A92">
        <w:rPr>
          <w:rFonts w:cstheme="minorHAnsi"/>
        </w:rPr>
        <w:t xml:space="preserve"> </w:t>
      </w:r>
      <w:r w:rsidR="00CB520B" w:rsidRPr="00974649">
        <w:rPr>
          <w:rFonts w:cstheme="minorHAnsi"/>
        </w:rPr>
        <w:t>(cheltuielile generale de administrație)</w:t>
      </w:r>
      <w:r w:rsidRPr="00974649">
        <w:rPr>
          <w:rFonts w:cstheme="minorHAnsi"/>
        </w:rPr>
        <w:t xml:space="preserve"> </w:t>
      </w:r>
      <w:r w:rsidRPr="005C2A92">
        <w:rPr>
          <w:rFonts w:cstheme="minorHAnsi"/>
        </w:rPr>
        <w:t xml:space="preserve">se rambursează în procent de </w:t>
      </w:r>
      <w:r w:rsidRPr="00974649">
        <w:rPr>
          <w:rFonts w:cstheme="minorHAnsi"/>
        </w:rPr>
        <w:t>15%</w:t>
      </w:r>
      <w:r w:rsidRPr="005C2A92">
        <w:rPr>
          <w:rFonts w:cstheme="minorHAnsi"/>
        </w:rPr>
        <w:t xml:space="preserve"> din valoarea totală eligibilă a cheltuielilor cu personalul</w:t>
      </w:r>
      <w:r w:rsidR="00592A2D" w:rsidRPr="008B3DFA">
        <w:rPr>
          <w:rFonts w:cstheme="minorHAnsi"/>
        </w:rPr>
        <w:t>,</w:t>
      </w:r>
      <w:r w:rsidR="00592A2D" w:rsidRPr="00974649">
        <w:rPr>
          <w:rFonts w:cstheme="minorHAnsi"/>
        </w:rPr>
        <w:t xml:space="preserve"> </w:t>
      </w:r>
      <w:r w:rsidR="00592A2D" w:rsidRPr="00974649">
        <w:rPr>
          <w:rFonts w:cstheme="minorHAnsi"/>
        </w:rPr>
        <w:t>fără depunerea de documente justificative.</w:t>
      </w:r>
      <w:r w:rsidR="000468A2" w:rsidRPr="005C2A92">
        <w:rPr>
          <w:rFonts w:cstheme="minorHAnsi"/>
        </w:rPr>
        <w:t xml:space="preserve"> </w:t>
      </w:r>
    </w:p>
    <w:p w14:paraId="0EFF27F5" w14:textId="77777777" w:rsidR="008A2E12" w:rsidRPr="00F77CF1" w:rsidRDefault="008A2E12" w:rsidP="008A2E12">
      <w:pPr>
        <w:spacing w:after="200" w:line="240" w:lineRule="auto"/>
        <w:ind w:left="360"/>
        <w:contextualSpacing/>
        <w:jc w:val="both"/>
        <w:rPr>
          <w:rFonts w:eastAsia="Times New Roman" w:cstheme="minorHAnsi"/>
          <w:lang w:val="en-US"/>
        </w:rPr>
      </w:pPr>
    </w:p>
    <w:p w14:paraId="36C15927" w14:textId="328600B7" w:rsidR="00962AFA" w:rsidRDefault="002D37D7" w:rsidP="002D37D7">
      <w:pPr>
        <w:spacing w:after="0" w:line="240" w:lineRule="auto"/>
        <w:jc w:val="both"/>
        <w:rPr>
          <w:rFonts w:eastAsia="Times New Roman" w:cstheme="minorHAnsi"/>
          <w:b/>
          <w:lang w:eastAsia="de-DE"/>
        </w:rPr>
      </w:pPr>
      <w:r w:rsidRPr="00F77CF1">
        <w:rPr>
          <w:rFonts w:eastAsia="Times New Roman" w:cstheme="minorHAnsi"/>
          <w:b/>
          <w:lang w:eastAsia="de-DE"/>
        </w:rPr>
        <w:t>Articolul 3</w:t>
      </w:r>
      <w:r w:rsidRPr="00F77CF1">
        <w:rPr>
          <w:rFonts w:eastAsia="Times New Roman" w:cstheme="minorHAnsi"/>
          <w:lang w:eastAsia="de-DE"/>
        </w:rPr>
        <w:t xml:space="preserve"> - </w:t>
      </w:r>
      <w:r w:rsidRPr="00F77CF1">
        <w:rPr>
          <w:rFonts w:eastAsia="Times New Roman" w:cstheme="minorHAnsi"/>
          <w:b/>
          <w:lang w:eastAsia="de-DE"/>
        </w:rPr>
        <w:t>Completarea Condițiilor generale privind acordarea și recuperarea prefinanțării:</w:t>
      </w:r>
    </w:p>
    <w:p w14:paraId="59D63443" w14:textId="77777777" w:rsidR="00962AFA" w:rsidRPr="00F77CF1" w:rsidRDefault="00962AFA" w:rsidP="002D37D7">
      <w:pPr>
        <w:spacing w:after="0" w:line="240" w:lineRule="auto"/>
        <w:jc w:val="both"/>
        <w:rPr>
          <w:rFonts w:eastAsia="Times New Roman" w:cstheme="minorHAnsi"/>
          <w:b/>
          <w:lang w:eastAsia="de-DE"/>
        </w:rPr>
      </w:pPr>
    </w:p>
    <w:p w14:paraId="240D8F12" w14:textId="5B8DA0A3" w:rsidR="002D37D7" w:rsidRPr="00F77CF1" w:rsidRDefault="002D37D7" w:rsidP="007A74F2">
      <w:pPr>
        <w:numPr>
          <w:ilvl w:val="0"/>
          <w:numId w:val="15"/>
        </w:numPr>
        <w:spacing w:after="0" w:line="240" w:lineRule="auto"/>
        <w:contextualSpacing/>
        <w:jc w:val="both"/>
        <w:rPr>
          <w:rFonts w:eastAsia="Times New Roman" w:cstheme="minorHAnsi"/>
        </w:rPr>
      </w:pPr>
      <w:r w:rsidRPr="00F77CF1">
        <w:rPr>
          <w:rFonts w:eastAsia="Times New Roman" w:cstheme="minorHAnsi"/>
        </w:rPr>
        <w:t xml:space="preserve">Cu excepțiile prevăzute de art. 18 din OUG nr. 133/2021 privind gestionarea financiară a fondurilor europene pentru perioada de programare 2021-2027 alocate României din Fondul european de dezvoltare regională, Fondul de coeziune, Fondul social european Plus, Fondul pentru o tranziţie justă, cu modificările și completările ulterioare, în cadrul proiectelor finanțate din PR SE se poate acorda prefinanţare în tranşe de maximum 10% din valoarea eligibilă a </w:t>
      </w:r>
      <w:r w:rsidR="007D353D">
        <w:rPr>
          <w:rFonts w:eastAsia="Times New Roman" w:cstheme="minorHAnsi"/>
        </w:rPr>
        <w:t>D</w:t>
      </w:r>
      <w:r w:rsidRPr="00F77CF1">
        <w:rPr>
          <w:rFonts w:eastAsia="Times New Roman" w:cstheme="minorHAnsi"/>
        </w:rPr>
        <w:t>eciziei de finanţare, fără depăşirea valorii totale eligibile a acestuia, Beneficiarilor, alţii decât cei prevăzuţi la art. 7 alin (1)-(5), (8)</w:t>
      </w:r>
      <w:r w:rsidR="00192F6F" w:rsidRPr="00F77CF1">
        <w:rPr>
          <w:rFonts w:eastAsia="Times New Roman" w:cstheme="minorHAnsi"/>
        </w:rPr>
        <w:t>,</w:t>
      </w:r>
      <w:r w:rsidRPr="00F77CF1">
        <w:rPr>
          <w:rFonts w:eastAsia="Times New Roman" w:cstheme="minorHAnsi"/>
        </w:rPr>
        <w:t xml:space="preserve"> (10) </w:t>
      </w:r>
      <w:r w:rsidR="00192F6F" w:rsidRPr="00F77CF1">
        <w:rPr>
          <w:rFonts w:eastAsia="Times New Roman" w:cstheme="minorHAnsi"/>
        </w:rPr>
        <w:t xml:space="preserve">și (15) </w:t>
      </w:r>
      <w:r w:rsidRPr="00F77CF1">
        <w:rPr>
          <w:rFonts w:eastAsia="Times New Roman" w:cstheme="minorHAnsi"/>
        </w:rPr>
        <w:t xml:space="preserve">din actul normativ de mai sus. Tranşa solicitată, împreună cu soldul nejustificat al prefinanţării, prin cereri de rambursare, nu poate depăşi procentul indicat anterior. </w:t>
      </w:r>
    </w:p>
    <w:p w14:paraId="37366681" w14:textId="5AD4D826" w:rsidR="002D37D7" w:rsidRPr="00F77CF1" w:rsidRDefault="002D37D7" w:rsidP="007A74F2">
      <w:pPr>
        <w:numPr>
          <w:ilvl w:val="0"/>
          <w:numId w:val="15"/>
        </w:numPr>
        <w:spacing w:after="0" w:line="240" w:lineRule="auto"/>
        <w:contextualSpacing/>
        <w:jc w:val="both"/>
        <w:rPr>
          <w:rFonts w:eastAsia="Times New Roman" w:cstheme="minorHAnsi"/>
        </w:rPr>
      </w:pPr>
      <w:r w:rsidRPr="00F77CF1">
        <w:rPr>
          <w:rFonts w:eastAsia="Times New Roman" w:cstheme="minorHAnsi"/>
        </w:rPr>
        <w:t xml:space="preserve">În solicitarea, acordarea, justificarea și recuperarea prefinanțării, beneficiarul și AM sunt obligate să aplice și să respecte prevederile Capitolului IV </w:t>
      </w:r>
      <w:r w:rsidR="00192F6F" w:rsidRPr="00F77CF1">
        <w:rPr>
          <w:rFonts w:eastAsia="Times New Roman" w:cstheme="minorHAnsi"/>
        </w:rPr>
        <w:t xml:space="preserve">– </w:t>
      </w:r>
      <w:r w:rsidR="00192F6F" w:rsidRPr="00F77CF1">
        <w:rPr>
          <w:rFonts w:eastAsia="Times New Roman" w:cstheme="minorHAnsi"/>
          <w:i/>
          <w:iCs/>
        </w:rPr>
        <w:t>Prefinanțarea</w:t>
      </w:r>
      <w:r w:rsidR="00192F6F" w:rsidRPr="00F77CF1">
        <w:rPr>
          <w:rFonts w:eastAsia="Times New Roman" w:cstheme="minorHAnsi"/>
        </w:rPr>
        <w:t xml:space="preserve">, </w:t>
      </w:r>
      <w:r w:rsidRPr="00F77CF1">
        <w:rPr>
          <w:rFonts w:eastAsia="Times New Roman" w:cstheme="minorHAnsi"/>
        </w:rPr>
        <w:t>din OUG nr. 133/2021</w:t>
      </w:r>
      <w:r w:rsidR="006C1CF1" w:rsidRPr="00F77CF1">
        <w:rPr>
          <w:rFonts w:cstheme="minorHAnsi"/>
        </w:rPr>
        <w:t xml:space="preserve"> </w:t>
      </w:r>
      <w:r w:rsidR="006C1CF1" w:rsidRPr="00F77CF1">
        <w:rPr>
          <w:rFonts w:eastAsia="Times New Roman" w:cstheme="minorHAnsi"/>
        </w:rPr>
        <w:t xml:space="preserve">și </w:t>
      </w:r>
      <w:r w:rsidR="00F77CF1" w:rsidRPr="00F77CF1">
        <w:rPr>
          <w:rFonts w:eastAsia="Times New Roman" w:cstheme="minorHAnsi"/>
        </w:rPr>
        <w:t>Instrucțiun</w:t>
      </w:r>
      <w:r w:rsidR="00F77CF1">
        <w:rPr>
          <w:rFonts w:eastAsia="Times New Roman" w:cstheme="minorHAnsi"/>
        </w:rPr>
        <w:t>ii</w:t>
      </w:r>
      <w:r w:rsidR="00F77CF1" w:rsidRPr="00F77CF1">
        <w:rPr>
          <w:rFonts w:eastAsia="Times New Roman" w:cstheme="minorHAnsi"/>
        </w:rPr>
        <w:t xml:space="preserve"> AM privind acordarea sprijinului financiar în cadrul Priorității 7- Asistență tehnică</w:t>
      </w:r>
      <w:r w:rsidRPr="00F77CF1">
        <w:rPr>
          <w:rFonts w:eastAsia="Times New Roman" w:cstheme="minorHAnsi"/>
        </w:rPr>
        <w:t xml:space="preserve">. </w:t>
      </w:r>
    </w:p>
    <w:p w14:paraId="0C38C75A" w14:textId="0AEB5A01" w:rsidR="007A74F2" w:rsidRDefault="007A74F2" w:rsidP="007A74F2">
      <w:pPr>
        <w:pStyle w:val="ListParagraph"/>
        <w:numPr>
          <w:ilvl w:val="0"/>
          <w:numId w:val="15"/>
        </w:numPr>
        <w:spacing w:after="0"/>
        <w:jc w:val="both"/>
        <w:rPr>
          <w:rFonts w:asciiTheme="minorHAnsi" w:hAnsiTheme="minorHAnsi" w:cstheme="minorHAnsi"/>
          <w:lang w:val="ro-RO"/>
        </w:rPr>
      </w:pPr>
      <w:r w:rsidRPr="00F77CF1">
        <w:rPr>
          <w:rFonts w:asciiTheme="minorHAnsi" w:hAnsiTheme="minorHAnsi" w:cstheme="minorHAnsi"/>
          <w:lang w:val="ro-RO"/>
        </w:rPr>
        <w:t xml:space="preserve">Recuperarea sumelor plătite în mod necuvenit se va efectua în condițiile prevăzute în Regulamentului (UE) nr. </w:t>
      </w:r>
      <w:r w:rsidR="000660F0" w:rsidRPr="00F77CF1">
        <w:rPr>
          <w:rFonts w:asciiTheme="minorHAnsi" w:hAnsiTheme="minorHAnsi" w:cstheme="minorHAnsi"/>
          <w:lang w:val="ro-RO"/>
        </w:rPr>
        <w:t>1060</w:t>
      </w:r>
      <w:r w:rsidRPr="00F77CF1">
        <w:rPr>
          <w:rFonts w:asciiTheme="minorHAnsi" w:hAnsiTheme="minorHAnsi" w:cstheme="minorHAnsi"/>
          <w:lang w:val="ro-RO"/>
        </w:rPr>
        <w:t>/</w:t>
      </w:r>
      <w:r w:rsidR="000660F0" w:rsidRPr="00F77CF1">
        <w:rPr>
          <w:rFonts w:asciiTheme="minorHAnsi" w:hAnsiTheme="minorHAnsi" w:cstheme="minorHAnsi"/>
          <w:lang w:val="ro-RO"/>
        </w:rPr>
        <w:t>2021</w:t>
      </w:r>
      <w:r w:rsidR="000660F0">
        <w:rPr>
          <w:rFonts w:asciiTheme="minorHAnsi" w:hAnsiTheme="minorHAnsi" w:cstheme="minorHAnsi"/>
          <w:lang w:val="ro-RO"/>
        </w:rPr>
        <w:t xml:space="preserve"> </w:t>
      </w:r>
      <w:r w:rsidRPr="00F77CF1">
        <w:rPr>
          <w:rFonts w:asciiTheme="minorHAnsi" w:hAnsiTheme="minorHAnsi" w:cstheme="minorHAnsi"/>
          <w:lang w:val="ro-RO"/>
        </w:rPr>
        <w:t>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6DAC8E22" w14:textId="77777777" w:rsidR="008A2E12" w:rsidRDefault="008A2E12" w:rsidP="008A2E12">
      <w:pPr>
        <w:pStyle w:val="ListParagraph"/>
        <w:spacing w:after="0"/>
        <w:ind w:left="360"/>
        <w:jc w:val="both"/>
        <w:rPr>
          <w:rFonts w:asciiTheme="minorHAnsi" w:hAnsiTheme="minorHAnsi" w:cstheme="minorHAnsi"/>
          <w:lang w:val="ro-RO"/>
        </w:rPr>
      </w:pPr>
    </w:p>
    <w:p w14:paraId="099FC8A2" w14:textId="77777777" w:rsidR="00962AFA" w:rsidRPr="00F77CF1" w:rsidRDefault="00962AFA" w:rsidP="008A2E12">
      <w:pPr>
        <w:pStyle w:val="ListParagraph"/>
        <w:spacing w:after="0"/>
        <w:ind w:left="360"/>
        <w:jc w:val="both"/>
        <w:rPr>
          <w:rFonts w:asciiTheme="minorHAnsi" w:hAnsiTheme="minorHAnsi" w:cstheme="minorHAnsi"/>
          <w:lang w:val="ro-RO"/>
        </w:rPr>
      </w:pPr>
    </w:p>
    <w:p w14:paraId="5A2951A1" w14:textId="77777777" w:rsidR="002D37D7" w:rsidRPr="00F77CF1" w:rsidRDefault="002D37D7" w:rsidP="002D37D7">
      <w:pPr>
        <w:spacing w:after="0" w:line="240" w:lineRule="auto"/>
        <w:jc w:val="both"/>
        <w:rPr>
          <w:rFonts w:eastAsia="Times New Roman" w:cstheme="minorHAnsi"/>
          <w:lang w:eastAsia="de-DE"/>
        </w:rPr>
      </w:pPr>
      <w:r w:rsidRPr="00F77CF1">
        <w:rPr>
          <w:rFonts w:eastAsia="Times New Roman" w:cstheme="minorHAnsi"/>
          <w:b/>
          <w:lang w:eastAsia="de-DE"/>
        </w:rPr>
        <w:t>Articolul 4</w:t>
      </w:r>
      <w:r w:rsidRPr="00F77CF1">
        <w:rPr>
          <w:rFonts w:eastAsia="Times New Roman" w:cstheme="minorHAnsi"/>
          <w:lang w:eastAsia="de-DE"/>
        </w:rPr>
        <w:t xml:space="preserve"> - </w:t>
      </w:r>
      <w:r w:rsidRPr="00F77CF1">
        <w:rPr>
          <w:rFonts w:eastAsia="Times New Roman" w:cstheme="minorHAnsi"/>
          <w:b/>
          <w:lang w:eastAsia="de-DE"/>
        </w:rPr>
        <w:t>Completarea Condițiilor generale privind rambursarea/plata cheltuielilor</w:t>
      </w:r>
      <w:r w:rsidRPr="00F77CF1">
        <w:rPr>
          <w:rFonts w:eastAsia="Times New Roman" w:cstheme="minorHAnsi"/>
          <w:lang w:eastAsia="de-DE"/>
        </w:rPr>
        <w:t>:</w:t>
      </w:r>
    </w:p>
    <w:p w14:paraId="69DB1980" w14:textId="1382302B" w:rsidR="006C1CF1" w:rsidRPr="00F77CF1" w:rsidRDefault="002D37D7" w:rsidP="006C1CF1">
      <w:pPr>
        <w:numPr>
          <w:ilvl w:val="0"/>
          <w:numId w:val="18"/>
        </w:numPr>
        <w:spacing w:before="120" w:after="120" w:line="240" w:lineRule="auto"/>
        <w:ind w:left="426" w:hanging="426"/>
        <w:contextualSpacing/>
        <w:jc w:val="both"/>
        <w:rPr>
          <w:rFonts w:cstheme="minorHAnsi"/>
        </w:rPr>
      </w:pPr>
      <w:r w:rsidRPr="00F77CF1">
        <w:rPr>
          <w:rFonts w:eastAsia="Times New Roman" w:cstheme="minorHAnsi"/>
        </w:rPr>
        <w:lastRenderedPageBreak/>
        <w:t>Cererile de plată, rambursare depuse de către beneficiar, precum și plata efectivă a cheltuielilor eligibile de către AM, se</w:t>
      </w:r>
      <w:r w:rsidR="008A2E12">
        <w:rPr>
          <w:rFonts w:eastAsia="Times New Roman" w:cstheme="minorHAnsi"/>
        </w:rPr>
        <w:t xml:space="preserve"> vor</w:t>
      </w:r>
      <w:r w:rsidRPr="00F77CF1">
        <w:rPr>
          <w:rFonts w:eastAsia="Times New Roman" w:cstheme="minorHAnsi"/>
        </w:rPr>
        <w:t xml:space="preserve"> face prin punerea în aplicare a mecanismelor stabilite în Capitolul V</w:t>
      </w:r>
      <w:r w:rsidR="00192F6F" w:rsidRPr="00F77CF1">
        <w:rPr>
          <w:rFonts w:eastAsia="Times New Roman" w:cstheme="minorHAnsi"/>
        </w:rPr>
        <w:t>-</w:t>
      </w:r>
      <w:r w:rsidR="00192F6F" w:rsidRPr="00F77CF1">
        <w:rPr>
          <w:rFonts w:cstheme="minorHAnsi"/>
        </w:rPr>
        <w:t xml:space="preserve"> </w:t>
      </w:r>
      <w:r w:rsidR="00192F6F" w:rsidRPr="00F77CF1">
        <w:rPr>
          <w:rFonts w:eastAsia="Times New Roman" w:cstheme="minorHAnsi"/>
          <w:i/>
          <w:iCs/>
        </w:rPr>
        <w:t>Mecanismul cererilor de plată/ Mecanismul rambursării cheltuielilor eligibile</w:t>
      </w:r>
      <w:r w:rsidRPr="00F77CF1">
        <w:rPr>
          <w:rFonts w:eastAsia="Times New Roman" w:cstheme="minorHAnsi"/>
        </w:rPr>
        <w:t xml:space="preserve"> din OUG nr. 133/2021</w:t>
      </w:r>
      <w:r w:rsidR="006C1CF1" w:rsidRPr="00F77CF1">
        <w:rPr>
          <w:rFonts w:cstheme="minorHAnsi"/>
        </w:rPr>
        <w:t xml:space="preserve"> </w:t>
      </w:r>
      <w:r w:rsidR="006C1CF1" w:rsidRPr="00F77CF1">
        <w:rPr>
          <w:rFonts w:eastAsia="Times New Roman" w:cstheme="minorHAnsi"/>
        </w:rPr>
        <w:t xml:space="preserve">și </w:t>
      </w:r>
      <w:r w:rsidR="00F77CF1">
        <w:rPr>
          <w:rFonts w:eastAsia="Times New Roman" w:cstheme="minorHAnsi"/>
        </w:rPr>
        <w:t xml:space="preserve">în </w:t>
      </w:r>
      <w:r w:rsidR="00F77CF1" w:rsidRPr="00F77CF1">
        <w:rPr>
          <w:rFonts w:eastAsia="Times New Roman" w:cstheme="minorHAnsi"/>
        </w:rPr>
        <w:t>Instrucțiunea AM privind acordarea sprijinului financiar în cadrul Priorității 7- Asistență tehnică</w:t>
      </w:r>
      <w:r w:rsidRPr="00F77CF1">
        <w:rPr>
          <w:rFonts w:eastAsia="Times New Roman" w:cstheme="minorHAnsi"/>
        </w:rPr>
        <w:t xml:space="preserve">. </w:t>
      </w:r>
    </w:p>
    <w:p w14:paraId="2CF0B4B7" w14:textId="5F00F388" w:rsidR="006C1CF1" w:rsidRPr="00F77CF1" w:rsidRDefault="002D37D7" w:rsidP="006C1CF1">
      <w:pPr>
        <w:numPr>
          <w:ilvl w:val="0"/>
          <w:numId w:val="18"/>
        </w:numPr>
        <w:spacing w:before="120" w:after="120" w:line="240" w:lineRule="auto"/>
        <w:ind w:left="426" w:hanging="426"/>
        <w:contextualSpacing/>
        <w:jc w:val="both"/>
        <w:rPr>
          <w:rFonts w:cstheme="minorHAnsi"/>
        </w:rPr>
      </w:pPr>
      <w:r w:rsidRPr="00F77CF1">
        <w:rPr>
          <w:rFonts w:eastAsia="Times New Roman" w:cstheme="minorHAnsi"/>
        </w:rPr>
        <w:t xml:space="preserve">Beneficiarul are obligația de a depune cererea de rambursare finală </w:t>
      </w:r>
      <w:r w:rsidR="006C1CF1" w:rsidRPr="00F77CF1">
        <w:rPr>
          <w:rFonts w:cstheme="minorHAnsi"/>
        </w:rPr>
        <w:t xml:space="preserve">odată cu raportul de progres final, cu respectarea Graficului cererilor de prefinanțare/plată/rambursare, </w:t>
      </w:r>
      <w:r w:rsidRPr="00F77CF1">
        <w:rPr>
          <w:rFonts w:eastAsia="Times New Roman" w:cstheme="minorHAnsi"/>
        </w:rPr>
        <w:t xml:space="preserve">în termenul maxim de 60 de zile calendaristice de la </w:t>
      </w:r>
      <w:r w:rsidR="006C1CF1" w:rsidRPr="00F77CF1">
        <w:rPr>
          <w:rFonts w:cstheme="minorHAnsi"/>
        </w:rPr>
        <w:t xml:space="preserve">expirarea perioadei de </w:t>
      </w:r>
      <w:r w:rsidRPr="00F77CF1">
        <w:rPr>
          <w:rFonts w:eastAsia="Times New Roman" w:cstheme="minorHAnsi"/>
        </w:rPr>
        <w:t>implementare a proiectului</w:t>
      </w:r>
      <w:r w:rsidR="00AF3164" w:rsidRPr="00F77CF1">
        <w:rPr>
          <w:rFonts w:eastAsia="Times New Roman" w:cstheme="minorHAnsi"/>
          <w:b/>
          <w:bCs/>
        </w:rPr>
        <w:t>.</w:t>
      </w:r>
    </w:p>
    <w:p w14:paraId="44C7E4C0" w14:textId="65881F3C" w:rsidR="006C1CF1" w:rsidRPr="00F77CF1" w:rsidRDefault="006C1CF1" w:rsidP="006C1CF1">
      <w:pPr>
        <w:pStyle w:val="ListParagraph"/>
        <w:numPr>
          <w:ilvl w:val="0"/>
          <w:numId w:val="18"/>
        </w:numPr>
        <w:jc w:val="both"/>
        <w:rPr>
          <w:rFonts w:asciiTheme="minorHAnsi" w:eastAsiaTheme="minorHAnsi" w:hAnsiTheme="minorHAnsi" w:cstheme="minorHAnsi"/>
          <w:lang w:val="ro-RO"/>
        </w:rPr>
      </w:pPr>
      <w:r w:rsidRPr="00F77CF1">
        <w:rPr>
          <w:rFonts w:asciiTheme="minorHAnsi" w:eastAsiaTheme="minorHAnsi" w:hAnsiTheme="minorHAnsi" w:cstheme="minorHAnsi"/>
          <w:lang w:val="ro-RO"/>
        </w:rPr>
        <w:t>Documentele originale pe baza cărora se înregistrează în contabilitatea beneficiarului Priorității 7 - Asistență Tehnică a Programului Regional Sud-Est 2021-2027 cheltuielile efectuate în cadrul proiectului, au înscrise următoarele menţiuni: codul SMIS al proiectului, ”Proiect finanţat din PR SE 2021-2027” și numărul cererii de rambursare/plată în care a fost inclus documentul de plată.</w:t>
      </w:r>
    </w:p>
    <w:p w14:paraId="04C81176" w14:textId="18499722" w:rsidR="002D37D7" w:rsidRPr="00F77CF1" w:rsidRDefault="002D37D7" w:rsidP="00AF3164">
      <w:pPr>
        <w:spacing w:after="200" w:line="240" w:lineRule="auto"/>
        <w:contextualSpacing/>
        <w:jc w:val="both"/>
        <w:rPr>
          <w:rFonts w:eastAsia="Times New Roman" w:cstheme="minorHAnsi"/>
          <w:lang w:eastAsia="de-DE"/>
        </w:rPr>
      </w:pPr>
      <w:r w:rsidRPr="00F77CF1">
        <w:rPr>
          <w:rFonts w:eastAsia="Times New Roman" w:cstheme="minorHAnsi"/>
          <w:b/>
          <w:lang w:eastAsia="de-DE"/>
        </w:rPr>
        <w:t>Articolul 5</w:t>
      </w:r>
      <w:r w:rsidRPr="00F77CF1">
        <w:rPr>
          <w:rFonts w:eastAsia="Times New Roman" w:cstheme="minorHAnsi"/>
          <w:lang w:eastAsia="de-DE"/>
        </w:rPr>
        <w:t xml:space="preserve"> - </w:t>
      </w:r>
      <w:r w:rsidRPr="00F77CF1">
        <w:rPr>
          <w:rFonts w:eastAsia="Times New Roman" w:cstheme="minorHAnsi"/>
          <w:b/>
          <w:lang w:eastAsia="de-DE"/>
        </w:rPr>
        <w:t>Completarea Condițiilor generale cu alte drepturi și obligații ale Beneficiarului</w:t>
      </w:r>
      <w:r w:rsidRPr="00F77CF1">
        <w:rPr>
          <w:rFonts w:eastAsia="Times New Roman" w:cstheme="minorHAnsi"/>
          <w:lang w:eastAsia="de-DE"/>
        </w:rPr>
        <w:t>:</w:t>
      </w:r>
    </w:p>
    <w:p w14:paraId="2EB1D6FA" w14:textId="4B542744" w:rsidR="00077DFF" w:rsidRPr="00F77CF1" w:rsidRDefault="00077DFF" w:rsidP="00077DFF">
      <w:pPr>
        <w:pStyle w:val="ListParagraph"/>
        <w:numPr>
          <w:ilvl w:val="0"/>
          <w:numId w:val="19"/>
        </w:numPr>
        <w:spacing w:line="240" w:lineRule="auto"/>
        <w:jc w:val="both"/>
        <w:rPr>
          <w:rFonts w:asciiTheme="minorHAnsi" w:hAnsiTheme="minorHAnsi" w:cstheme="minorHAnsi"/>
          <w:lang w:val="ro-RO"/>
        </w:rPr>
      </w:pPr>
      <w:r w:rsidRPr="00F77CF1">
        <w:rPr>
          <w:rFonts w:asciiTheme="minorHAnsi" w:hAnsiTheme="minorHAnsi" w:cstheme="minorHAnsi"/>
          <w:lang w:val="ro-RO"/>
        </w:rPr>
        <w:t xml:space="preserve">Beneficiarul se obligă să implementeze Proiectul pe propria răspundere în conformitate cu prevederile prezentei Decizii de finanțare (inclusiv anexele acesteia) şi ale legislaţiei </w:t>
      </w:r>
      <w:r w:rsidR="007A74F2" w:rsidRPr="00F77CF1">
        <w:rPr>
          <w:rFonts w:asciiTheme="minorHAnsi" w:hAnsiTheme="minorHAnsi" w:cstheme="minorHAnsi"/>
          <w:lang w:val="ro-RO"/>
        </w:rPr>
        <w:t>europene</w:t>
      </w:r>
      <w:r w:rsidRPr="00F77CF1">
        <w:rPr>
          <w:rFonts w:asciiTheme="minorHAnsi" w:hAnsiTheme="minorHAnsi" w:cstheme="minorHAnsi"/>
          <w:lang w:val="ro-RO"/>
        </w:rPr>
        <w:t xml:space="preserve"> şi naţionale în vigoare. Beneficiarul va fi singurul răspunzător în faţa AM pentru îndeplinirea obligaţiilor asumate prin Decizia de finanțare, pentru implementarea Proiectului şi pentru realizarea activităților, îndeplinirea indicatorilor de etapă, dar și a indicatorilor de proiect asumați și a obiectivelor acestuia, prevăzuți în Cererea de finanţare. </w:t>
      </w:r>
    </w:p>
    <w:p w14:paraId="779112DA" w14:textId="63A7819B" w:rsidR="00077DFF" w:rsidRPr="00F77CF1" w:rsidRDefault="00077DFF" w:rsidP="00077DFF">
      <w:pPr>
        <w:pStyle w:val="ListParagraph"/>
        <w:numPr>
          <w:ilvl w:val="0"/>
          <w:numId w:val="19"/>
        </w:numPr>
        <w:spacing w:line="240" w:lineRule="auto"/>
        <w:jc w:val="both"/>
        <w:rPr>
          <w:rFonts w:asciiTheme="minorHAnsi" w:hAnsiTheme="minorHAnsi" w:cstheme="minorHAnsi"/>
          <w:lang w:val="ro-RO"/>
        </w:rPr>
      </w:pPr>
      <w:r w:rsidRPr="00F77CF1">
        <w:rPr>
          <w:rFonts w:asciiTheme="minorHAnsi" w:hAnsiTheme="minorHAnsi" w:cstheme="minorHAnsi"/>
          <w:lang w:val="ro-RO"/>
        </w:rPr>
        <w:t xml:space="preserve">În situaţia în care AM constată că implementarea activităţilor proiectului prevăzute a fi realizate după semnare nu a început în termen de 6 luni de la data </w:t>
      </w:r>
      <w:r w:rsidR="00843640">
        <w:rPr>
          <w:rFonts w:asciiTheme="minorHAnsi" w:hAnsiTheme="minorHAnsi" w:cstheme="minorHAnsi"/>
          <w:lang w:val="ro-RO"/>
        </w:rPr>
        <w:t>specificată la art. 2 alin. (2)</w:t>
      </w:r>
      <w:r w:rsidRPr="00F77CF1">
        <w:rPr>
          <w:rFonts w:asciiTheme="minorHAnsi" w:hAnsiTheme="minorHAnsi" w:cstheme="minorHAnsi"/>
          <w:lang w:val="ro-RO"/>
        </w:rPr>
        <w:t xml:space="preserve"> din Condițiile generale ale Deciziei de finanțare, poate dispune rezilierea acesteia.</w:t>
      </w:r>
    </w:p>
    <w:p w14:paraId="138D33D4" w14:textId="0E3F9681" w:rsidR="00077DFF" w:rsidRPr="00F77CF1" w:rsidRDefault="00077DFF" w:rsidP="007A74F2">
      <w:pPr>
        <w:pStyle w:val="ListParagraph"/>
        <w:numPr>
          <w:ilvl w:val="0"/>
          <w:numId w:val="19"/>
        </w:numPr>
        <w:jc w:val="both"/>
        <w:rPr>
          <w:rFonts w:asciiTheme="minorHAnsi" w:hAnsiTheme="minorHAnsi" w:cstheme="minorHAnsi"/>
          <w:lang w:val="ro-RO"/>
        </w:rPr>
      </w:pPr>
      <w:proofErr w:type="spellStart"/>
      <w:r w:rsidRPr="00F77CF1">
        <w:rPr>
          <w:rFonts w:asciiTheme="minorHAnsi" w:hAnsiTheme="minorHAnsi" w:cstheme="minorHAnsi"/>
        </w:rPr>
        <w:t>Beneficiarul</w:t>
      </w:r>
      <w:proofErr w:type="spellEnd"/>
      <w:r w:rsidRPr="00F77CF1">
        <w:rPr>
          <w:rFonts w:asciiTheme="minorHAnsi" w:hAnsiTheme="minorHAnsi" w:cstheme="minorHAnsi"/>
        </w:rPr>
        <w:t xml:space="preserve"> se </w:t>
      </w:r>
      <w:proofErr w:type="spellStart"/>
      <w:r w:rsidRPr="00F77CF1">
        <w:rPr>
          <w:rFonts w:asciiTheme="minorHAnsi" w:hAnsiTheme="minorHAnsi" w:cstheme="minorHAnsi"/>
        </w:rPr>
        <w:t>angajează</w:t>
      </w:r>
      <w:proofErr w:type="spellEnd"/>
      <w:r w:rsidRPr="00F77CF1">
        <w:rPr>
          <w:rFonts w:asciiTheme="minorHAnsi" w:hAnsiTheme="minorHAnsi" w:cstheme="minorHAnsi"/>
        </w:rPr>
        <w:t xml:space="preserve">, </w:t>
      </w:r>
      <w:proofErr w:type="spellStart"/>
      <w:r w:rsidRPr="00F77CF1">
        <w:rPr>
          <w:rFonts w:asciiTheme="minorHAnsi" w:hAnsiTheme="minorHAnsi" w:cstheme="minorHAnsi"/>
        </w:rPr>
        <w:t>să</w:t>
      </w:r>
      <w:proofErr w:type="spellEnd"/>
      <w:r w:rsidRPr="00F77CF1">
        <w:rPr>
          <w:rFonts w:asciiTheme="minorHAnsi" w:hAnsiTheme="minorHAnsi" w:cstheme="minorHAnsi"/>
        </w:rPr>
        <w:t xml:space="preserve"> </w:t>
      </w:r>
      <w:proofErr w:type="spellStart"/>
      <w:r w:rsidRPr="00F77CF1">
        <w:rPr>
          <w:rFonts w:asciiTheme="minorHAnsi" w:hAnsiTheme="minorHAnsi" w:cstheme="minorHAnsi"/>
        </w:rPr>
        <w:t>utilizeze</w:t>
      </w:r>
      <w:proofErr w:type="spellEnd"/>
      <w:r w:rsidRPr="00F77CF1">
        <w:rPr>
          <w:rFonts w:asciiTheme="minorHAnsi" w:hAnsiTheme="minorHAnsi" w:cstheme="minorHAnsi"/>
        </w:rPr>
        <w:t xml:space="preserve"> </w:t>
      </w:r>
      <w:proofErr w:type="spellStart"/>
      <w:r w:rsidRPr="00F77CF1">
        <w:rPr>
          <w:rFonts w:asciiTheme="minorHAnsi" w:hAnsiTheme="minorHAnsi" w:cstheme="minorHAnsi"/>
        </w:rPr>
        <w:t>finanţarea</w:t>
      </w:r>
      <w:proofErr w:type="spellEnd"/>
      <w:r w:rsidRPr="00F77CF1">
        <w:rPr>
          <w:rFonts w:asciiTheme="minorHAnsi" w:hAnsiTheme="minorHAnsi" w:cstheme="minorHAnsi"/>
        </w:rPr>
        <w:t xml:space="preserve"> </w:t>
      </w:r>
      <w:proofErr w:type="spellStart"/>
      <w:r w:rsidRPr="00F77CF1">
        <w:rPr>
          <w:rFonts w:asciiTheme="minorHAnsi" w:hAnsiTheme="minorHAnsi" w:cstheme="minorHAnsi"/>
        </w:rPr>
        <w:t>exclusiv</w:t>
      </w:r>
      <w:proofErr w:type="spellEnd"/>
      <w:r w:rsidRPr="00F77CF1">
        <w:rPr>
          <w:rFonts w:asciiTheme="minorHAnsi" w:hAnsiTheme="minorHAnsi" w:cstheme="minorHAnsi"/>
        </w:rPr>
        <w:t xml:space="preserve"> cu </w:t>
      </w:r>
      <w:proofErr w:type="spellStart"/>
      <w:r w:rsidRPr="00F77CF1">
        <w:rPr>
          <w:rFonts w:asciiTheme="minorHAnsi" w:hAnsiTheme="minorHAnsi" w:cstheme="minorHAnsi"/>
        </w:rPr>
        <w:t>respectarea</w:t>
      </w:r>
      <w:proofErr w:type="spellEnd"/>
      <w:r w:rsidRPr="00F77CF1">
        <w:rPr>
          <w:rFonts w:asciiTheme="minorHAnsi" w:hAnsiTheme="minorHAnsi" w:cstheme="minorHAnsi"/>
        </w:rPr>
        <w:t xml:space="preserve"> </w:t>
      </w:r>
      <w:proofErr w:type="spellStart"/>
      <w:r w:rsidRPr="00F77CF1">
        <w:rPr>
          <w:rFonts w:asciiTheme="minorHAnsi" w:hAnsiTheme="minorHAnsi" w:cstheme="minorHAnsi"/>
        </w:rPr>
        <w:t>termenilor</w:t>
      </w:r>
      <w:proofErr w:type="spellEnd"/>
      <w:r w:rsidRPr="00F77CF1">
        <w:rPr>
          <w:rFonts w:asciiTheme="minorHAnsi" w:hAnsiTheme="minorHAnsi" w:cstheme="minorHAnsi"/>
        </w:rPr>
        <w:t xml:space="preserve"> </w:t>
      </w:r>
      <w:proofErr w:type="spellStart"/>
      <w:r w:rsidRPr="00F77CF1">
        <w:rPr>
          <w:rFonts w:asciiTheme="minorHAnsi" w:hAnsiTheme="minorHAnsi" w:cstheme="minorHAnsi"/>
        </w:rPr>
        <w:t>şi</w:t>
      </w:r>
      <w:proofErr w:type="spellEnd"/>
      <w:r w:rsidRPr="00F77CF1">
        <w:rPr>
          <w:rFonts w:asciiTheme="minorHAnsi" w:hAnsiTheme="minorHAnsi" w:cstheme="minorHAnsi"/>
        </w:rPr>
        <w:t xml:space="preserve"> </w:t>
      </w:r>
      <w:proofErr w:type="spellStart"/>
      <w:r w:rsidRPr="00F77CF1">
        <w:rPr>
          <w:rFonts w:asciiTheme="minorHAnsi" w:hAnsiTheme="minorHAnsi" w:cstheme="minorHAnsi"/>
        </w:rPr>
        <w:t>condițiilor</w:t>
      </w:r>
      <w:proofErr w:type="spellEnd"/>
      <w:r w:rsidRPr="00F77CF1">
        <w:rPr>
          <w:rFonts w:asciiTheme="minorHAnsi" w:hAnsiTheme="minorHAnsi" w:cstheme="minorHAnsi"/>
        </w:rPr>
        <w:t xml:space="preserve"> </w:t>
      </w:r>
      <w:proofErr w:type="spellStart"/>
      <w:r w:rsidRPr="00F77CF1">
        <w:rPr>
          <w:rFonts w:asciiTheme="minorHAnsi" w:hAnsiTheme="minorHAnsi" w:cstheme="minorHAnsi"/>
        </w:rPr>
        <w:t>Deciziei</w:t>
      </w:r>
      <w:proofErr w:type="spellEnd"/>
      <w:r w:rsidRPr="00F77CF1">
        <w:rPr>
          <w:rFonts w:asciiTheme="minorHAnsi" w:hAnsiTheme="minorHAnsi" w:cstheme="minorHAnsi"/>
        </w:rPr>
        <w:t xml:space="preserve"> de </w:t>
      </w:r>
      <w:proofErr w:type="spellStart"/>
      <w:r w:rsidRPr="00F77CF1">
        <w:rPr>
          <w:rFonts w:asciiTheme="minorHAnsi" w:hAnsiTheme="minorHAnsi" w:cstheme="minorHAnsi"/>
        </w:rPr>
        <w:t>finanţare</w:t>
      </w:r>
      <w:proofErr w:type="spellEnd"/>
      <w:r w:rsidRPr="00F77CF1">
        <w:rPr>
          <w:rFonts w:asciiTheme="minorHAnsi" w:hAnsiTheme="minorHAnsi" w:cstheme="minorHAnsi"/>
        </w:rPr>
        <w:t>.</w:t>
      </w:r>
      <w:r w:rsidR="007A74F2" w:rsidRPr="00F77CF1">
        <w:rPr>
          <w:rFonts w:asciiTheme="minorHAnsi" w:hAnsiTheme="minorHAnsi" w:cstheme="minorHAnsi"/>
        </w:rPr>
        <w:t xml:space="preserve"> </w:t>
      </w:r>
      <w:r w:rsidR="007A74F2" w:rsidRPr="00F77CF1">
        <w:rPr>
          <w:rFonts w:asciiTheme="minorHAnsi" w:hAnsiTheme="minorHAnsi" w:cstheme="minorHAnsi"/>
          <w:lang w:val="ro-RO"/>
        </w:rPr>
        <w:t xml:space="preserve">În acest sens, beneficiarul are obligaţia de a respecta calendarul activităţilor și achiziţiilor publice, prevăzute în cererea de finanţare, precum și de a asigura un management eficient al proiectului prin asigurarea resurselor umane şi materiale necesare implementării acestuia. </w:t>
      </w:r>
    </w:p>
    <w:p w14:paraId="3978D7FF" w14:textId="77777777" w:rsidR="00077DFF" w:rsidRPr="00F77CF1" w:rsidRDefault="00077DFF" w:rsidP="00077DFF">
      <w:pPr>
        <w:pStyle w:val="ListParagraph"/>
        <w:numPr>
          <w:ilvl w:val="0"/>
          <w:numId w:val="19"/>
        </w:numPr>
        <w:spacing w:line="240" w:lineRule="auto"/>
        <w:jc w:val="both"/>
        <w:rPr>
          <w:rFonts w:asciiTheme="minorHAnsi" w:hAnsiTheme="minorHAnsi" w:cstheme="minorHAnsi"/>
          <w:lang w:val="ro-RO"/>
        </w:rPr>
      </w:pPr>
      <w:r w:rsidRPr="00F77CF1">
        <w:rPr>
          <w:rFonts w:asciiTheme="minorHAnsi" w:hAnsiTheme="minorHAnsi" w:cstheme="minorHAnsi"/>
          <w:lang w:val="ro-RO"/>
        </w:rPr>
        <w:t xml:space="preserve">Beneficiarul are obligaţia de a notifica AM cu privire la starea de insolvenţă/faliment/suspendarea activității sau cu privire la faptul că este obiectul unei proceduri de lichidare sau de administrare judiciară şi altele asemenea, în termen de 5 zile lucrătoare de la data constatării oficiale a situației sus-menționate. </w:t>
      </w:r>
    </w:p>
    <w:p w14:paraId="6C03361D" w14:textId="69CEF32F" w:rsidR="00077DFF" w:rsidRPr="00F77CF1" w:rsidRDefault="00077DFF" w:rsidP="00077DFF">
      <w:pPr>
        <w:pStyle w:val="ListParagraph"/>
        <w:numPr>
          <w:ilvl w:val="0"/>
          <w:numId w:val="19"/>
        </w:numPr>
        <w:spacing w:after="0" w:line="240" w:lineRule="auto"/>
        <w:jc w:val="both"/>
        <w:rPr>
          <w:rFonts w:asciiTheme="minorHAnsi" w:hAnsiTheme="minorHAnsi" w:cstheme="minorHAnsi"/>
          <w:lang w:val="ro-RO"/>
        </w:rPr>
      </w:pPr>
      <w:r w:rsidRPr="00F77CF1">
        <w:rPr>
          <w:rFonts w:asciiTheme="minorHAnsi" w:hAnsiTheme="minorHAnsi" w:cstheme="minorHAnsi"/>
          <w:lang w:val="ro-RO"/>
        </w:rPr>
        <w:t>Beneficiarul are obligaţia de a nu întreprinde nici o acţiune de natură a afecta condițiile de implementare a proiectului și care ar conduce la încălcarea/subminarea obiectivelor inițiale ale acestuia.</w:t>
      </w:r>
    </w:p>
    <w:p w14:paraId="29E4E942" w14:textId="1F8041DA" w:rsidR="002D37D7" w:rsidRPr="008A2E12" w:rsidRDefault="007A74F2" w:rsidP="008A2E12">
      <w:pPr>
        <w:pStyle w:val="ListParagraph"/>
        <w:numPr>
          <w:ilvl w:val="0"/>
          <w:numId w:val="19"/>
        </w:numPr>
        <w:jc w:val="both"/>
        <w:rPr>
          <w:rFonts w:asciiTheme="minorHAnsi" w:hAnsiTheme="minorHAnsi" w:cstheme="minorHAnsi"/>
          <w:lang w:val="ro-RO"/>
        </w:rPr>
      </w:pPr>
      <w:r w:rsidRPr="00F77CF1">
        <w:rPr>
          <w:rFonts w:asciiTheme="minorHAnsi" w:hAnsiTheme="minorHAnsi" w:cstheme="minorHAnsi"/>
          <w:lang w:val="ro-RO"/>
        </w:rPr>
        <w:t xml:space="preserve">Beneficiarul are obligația de a respecta drepturile fundamentale ale omului și prevederile Cartei drepturilor fundamentale a Uniunii Europene, a egalității între </w:t>
      </w:r>
      <w:r w:rsidR="00305AE8" w:rsidRPr="00F77CF1">
        <w:rPr>
          <w:rFonts w:asciiTheme="minorHAnsi" w:hAnsiTheme="minorHAnsi" w:cstheme="minorHAnsi"/>
          <w:lang w:val="ro-RO"/>
        </w:rPr>
        <w:t>femei</w:t>
      </w:r>
      <w:r w:rsidR="00305AE8" w:rsidRPr="00F77CF1">
        <w:rPr>
          <w:rFonts w:asciiTheme="minorHAnsi" w:hAnsiTheme="minorHAnsi" w:cstheme="minorHAnsi"/>
          <w:lang w:val="ro-RO"/>
        </w:rPr>
        <w:t xml:space="preserve"> </w:t>
      </w:r>
      <w:r w:rsidR="00305AE8" w:rsidRPr="00F77CF1">
        <w:rPr>
          <w:rFonts w:asciiTheme="minorHAnsi" w:hAnsiTheme="minorHAnsi" w:cstheme="minorHAnsi"/>
          <w:lang w:val="ro-RO"/>
        </w:rPr>
        <w:t>și</w:t>
      </w:r>
      <w:r w:rsidR="00305AE8" w:rsidRPr="00F77CF1">
        <w:rPr>
          <w:rFonts w:asciiTheme="minorHAnsi" w:hAnsiTheme="minorHAnsi" w:cstheme="minorHAnsi"/>
          <w:lang w:val="ro-RO"/>
        </w:rPr>
        <w:t xml:space="preserve"> </w:t>
      </w:r>
      <w:r w:rsidRPr="00F77CF1">
        <w:rPr>
          <w:rFonts w:asciiTheme="minorHAnsi" w:hAnsiTheme="minorHAnsi" w:cstheme="minorHAnsi"/>
          <w:lang w:val="ro-RO"/>
        </w:rPr>
        <w:t xml:space="preserve">bărbați, integrarea perspectivei de gen și abordarea aspectelor de gen precum și prevenirea oricărei forme de discriminare pe criterii de gen, origine rasială sau etnică, religie sau convingeri, dizabilitate, vârstă sau orientare sexuală, precum și adaptarea infrastructurii în vederea accesibilității pentru persoanele cu dizabilități. </w:t>
      </w:r>
    </w:p>
    <w:p w14:paraId="4DD542BF" w14:textId="41C23D8C" w:rsidR="002D37D7" w:rsidRPr="00F77CF1" w:rsidRDefault="002D37D7" w:rsidP="002D37D7">
      <w:pPr>
        <w:spacing w:after="0" w:line="240" w:lineRule="auto"/>
        <w:jc w:val="both"/>
        <w:rPr>
          <w:rFonts w:eastAsia="Times New Roman" w:cstheme="minorHAnsi"/>
          <w:b/>
          <w:lang w:eastAsia="de-DE"/>
        </w:rPr>
      </w:pPr>
      <w:r w:rsidRPr="00F77CF1">
        <w:rPr>
          <w:rFonts w:eastAsia="Times New Roman" w:cstheme="minorHAnsi"/>
          <w:b/>
          <w:lang w:eastAsia="de-DE"/>
        </w:rPr>
        <w:t>Articolul 6</w:t>
      </w:r>
      <w:r w:rsidRPr="00F77CF1">
        <w:rPr>
          <w:rFonts w:eastAsia="Times New Roman" w:cstheme="minorHAnsi"/>
          <w:lang w:eastAsia="de-DE"/>
        </w:rPr>
        <w:t xml:space="preserve"> - </w:t>
      </w:r>
      <w:r w:rsidRPr="00F77CF1">
        <w:rPr>
          <w:rFonts w:eastAsia="Times New Roman" w:cstheme="minorHAnsi"/>
          <w:b/>
          <w:lang w:eastAsia="de-DE"/>
        </w:rPr>
        <w:t>Completarea Condițiilor generale cu privire la drepturile și obligațiile AM:</w:t>
      </w:r>
    </w:p>
    <w:p w14:paraId="53BFFB99" w14:textId="5DD45D0E" w:rsidR="001A0E1B" w:rsidRDefault="001A0E1B" w:rsidP="001A0E1B">
      <w:pPr>
        <w:pStyle w:val="ListParagraph"/>
        <w:numPr>
          <w:ilvl w:val="0"/>
          <w:numId w:val="16"/>
        </w:numPr>
        <w:spacing w:after="0" w:line="240" w:lineRule="auto"/>
        <w:jc w:val="both"/>
        <w:rPr>
          <w:rFonts w:asciiTheme="minorHAnsi" w:hAnsiTheme="minorHAnsi" w:cstheme="minorHAnsi"/>
          <w:bCs/>
          <w:lang w:eastAsia="de-DE"/>
        </w:rPr>
      </w:pPr>
      <w:r w:rsidRPr="00F77CF1">
        <w:rPr>
          <w:rFonts w:asciiTheme="minorHAnsi" w:hAnsiTheme="minorHAnsi" w:cstheme="minorHAnsi"/>
          <w:bCs/>
          <w:lang w:eastAsia="de-DE"/>
        </w:rPr>
        <w:lastRenderedPageBreak/>
        <w:t xml:space="preserve">AM </w:t>
      </w:r>
      <w:proofErr w:type="spellStart"/>
      <w:r w:rsidRPr="00F77CF1">
        <w:rPr>
          <w:rFonts w:asciiTheme="minorHAnsi" w:hAnsiTheme="minorHAnsi" w:cstheme="minorHAnsi"/>
          <w:bCs/>
          <w:lang w:eastAsia="de-DE"/>
        </w:rPr>
        <w:t>monitorizează</w:t>
      </w:r>
      <w:proofErr w:type="spellEnd"/>
      <w:r w:rsidRPr="00F77CF1">
        <w:rPr>
          <w:rFonts w:asciiTheme="minorHAnsi" w:hAnsiTheme="minorHAnsi" w:cstheme="minorHAnsi"/>
          <w:bCs/>
          <w:lang w:eastAsia="de-DE"/>
        </w:rPr>
        <w:t xml:space="preserve"> </w:t>
      </w:r>
      <w:proofErr w:type="spellStart"/>
      <w:r w:rsidRPr="00F77CF1">
        <w:rPr>
          <w:rFonts w:asciiTheme="minorHAnsi" w:hAnsiTheme="minorHAnsi" w:cstheme="minorHAnsi"/>
          <w:bCs/>
          <w:lang w:eastAsia="de-DE"/>
        </w:rPr>
        <w:t>implementarea</w:t>
      </w:r>
      <w:proofErr w:type="spellEnd"/>
      <w:r w:rsidRPr="00F77CF1">
        <w:rPr>
          <w:rFonts w:asciiTheme="minorHAnsi" w:hAnsiTheme="minorHAnsi" w:cstheme="minorHAnsi"/>
          <w:bCs/>
          <w:lang w:eastAsia="de-DE"/>
        </w:rPr>
        <w:t xml:space="preserve"> </w:t>
      </w:r>
      <w:proofErr w:type="spellStart"/>
      <w:r w:rsidRPr="00F77CF1">
        <w:rPr>
          <w:rFonts w:asciiTheme="minorHAnsi" w:hAnsiTheme="minorHAnsi" w:cstheme="minorHAnsi"/>
          <w:bCs/>
          <w:lang w:eastAsia="de-DE"/>
        </w:rPr>
        <w:t>proiectului</w:t>
      </w:r>
      <w:proofErr w:type="spellEnd"/>
      <w:r w:rsidRPr="00F77CF1">
        <w:rPr>
          <w:rFonts w:asciiTheme="minorHAnsi" w:hAnsiTheme="minorHAnsi" w:cstheme="minorHAnsi"/>
          <w:bCs/>
          <w:lang w:eastAsia="de-DE"/>
        </w:rPr>
        <w:t xml:space="preserve"> din </w:t>
      </w:r>
      <w:proofErr w:type="spellStart"/>
      <w:r w:rsidRPr="00F77CF1">
        <w:rPr>
          <w:rFonts w:asciiTheme="minorHAnsi" w:hAnsiTheme="minorHAnsi" w:cstheme="minorHAnsi"/>
          <w:bCs/>
          <w:lang w:eastAsia="de-DE"/>
        </w:rPr>
        <w:t>punct</w:t>
      </w:r>
      <w:proofErr w:type="spellEnd"/>
      <w:r w:rsidRPr="00F77CF1">
        <w:rPr>
          <w:rFonts w:asciiTheme="minorHAnsi" w:hAnsiTheme="minorHAnsi" w:cstheme="minorHAnsi"/>
          <w:bCs/>
          <w:lang w:eastAsia="de-DE"/>
        </w:rPr>
        <w:t xml:space="preserve"> de </w:t>
      </w:r>
      <w:proofErr w:type="spellStart"/>
      <w:r w:rsidRPr="00F77CF1">
        <w:rPr>
          <w:rFonts w:asciiTheme="minorHAnsi" w:hAnsiTheme="minorHAnsi" w:cstheme="minorHAnsi"/>
          <w:bCs/>
          <w:lang w:eastAsia="de-DE"/>
        </w:rPr>
        <w:t>vedere</w:t>
      </w:r>
      <w:proofErr w:type="spellEnd"/>
      <w:r w:rsidRPr="00F77CF1">
        <w:rPr>
          <w:rFonts w:asciiTheme="minorHAnsi" w:hAnsiTheme="minorHAnsi" w:cstheme="minorHAnsi"/>
          <w:bCs/>
          <w:lang w:eastAsia="de-DE"/>
        </w:rPr>
        <w:t xml:space="preserve"> al </w:t>
      </w:r>
      <w:proofErr w:type="spellStart"/>
      <w:r w:rsidRPr="00F77CF1">
        <w:rPr>
          <w:rFonts w:asciiTheme="minorHAnsi" w:hAnsiTheme="minorHAnsi" w:cstheme="minorHAnsi"/>
          <w:bCs/>
          <w:lang w:eastAsia="de-DE"/>
        </w:rPr>
        <w:t>îndeplinirii</w:t>
      </w:r>
      <w:proofErr w:type="spellEnd"/>
      <w:r w:rsidRPr="00F77CF1">
        <w:rPr>
          <w:rFonts w:asciiTheme="minorHAnsi" w:hAnsiTheme="minorHAnsi" w:cstheme="minorHAnsi"/>
          <w:bCs/>
          <w:lang w:eastAsia="de-DE"/>
        </w:rPr>
        <w:t xml:space="preserve"> </w:t>
      </w:r>
      <w:proofErr w:type="spellStart"/>
      <w:r w:rsidRPr="00F77CF1">
        <w:rPr>
          <w:rFonts w:asciiTheme="minorHAnsi" w:hAnsiTheme="minorHAnsi" w:cstheme="minorHAnsi"/>
          <w:bCs/>
          <w:lang w:eastAsia="de-DE"/>
        </w:rPr>
        <w:t>indicatorilor</w:t>
      </w:r>
      <w:proofErr w:type="spellEnd"/>
      <w:r w:rsidRPr="00F77CF1">
        <w:rPr>
          <w:rFonts w:asciiTheme="minorHAnsi" w:hAnsiTheme="minorHAnsi" w:cstheme="minorHAnsi"/>
          <w:bCs/>
          <w:lang w:eastAsia="de-DE"/>
        </w:rPr>
        <w:t xml:space="preserve">, </w:t>
      </w:r>
      <w:proofErr w:type="spellStart"/>
      <w:r w:rsidRPr="00F77CF1">
        <w:rPr>
          <w:rFonts w:asciiTheme="minorHAnsi" w:hAnsiTheme="minorHAnsi" w:cstheme="minorHAnsi"/>
          <w:bCs/>
          <w:lang w:eastAsia="de-DE"/>
        </w:rPr>
        <w:t>atingerii</w:t>
      </w:r>
      <w:proofErr w:type="spellEnd"/>
      <w:r w:rsidRPr="00F77CF1">
        <w:rPr>
          <w:rFonts w:asciiTheme="minorHAnsi" w:hAnsiTheme="minorHAnsi" w:cstheme="minorHAnsi"/>
          <w:bCs/>
          <w:lang w:eastAsia="de-DE"/>
        </w:rPr>
        <w:t xml:space="preserve"> </w:t>
      </w:r>
      <w:proofErr w:type="spellStart"/>
      <w:r w:rsidRPr="00F77CF1">
        <w:rPr>
          <w:rFonts w:asciiTheme="minorHAnsi" w:hAnsiTheme="minorHAnsi" w:cstheme="minorHAnsi"/>
          <w:bCs/>
          <w:lang w:eastAsia="de-DE"/>
        </w:rPr>
        <w:t>rezultatelor</w:t>
      </w:r>
      <w:proofErr w:type="spellEnd"/>
      <w:r w:rsidRPr="00F77CF1">
        <w:rPr>
          <w:rFonts w:asciiTheme="minorHAnsi" w:hAnsiTheme="minorHAnsi" w:cstheme="minorHAnsi"/>
          <w:bCs/>
          <w:lang w:eastAsia="de-DE"/>
        </w:rPr>
        <w:t xml:space="preserve"> </w:t>
      </w:r>
      <w:proofErr w:type="spellStart"/>
      <w:r w:rsidRPr="00F77CF1">
        <w:rPr>
          <w:rFonts w:asciiTheme="minorHAnsi" w:hAnsiTheme="minorHAnsi" w:cstheme="minorHAnsi"/>
          <w:bCs/>
          <w:lang w:eastAsia="de-DE"/>
        </w:rPr>
        <w:t>și</w:t>
      </w:r>
      <w:proofErr w:type="spellEnd"/>
      <w:r w:rsidRPr="00F77CF1">
        <w:rPr>
          <w:rFonts w:asciiTheme="minorHAnsi" w:hAnsiTheme="minorHAnsi" w:cstheme="minorHAnsi"/>
          <w:bCs/>
          <w:lang w:eastAsia="de-DE"/>
        </w:rPr>
        <w:t xml:space="preserve"> </w:t>
      </w:r>
      <w:proofErr w:type="gramStart"/>
      <w:r w:rsidRPr="00F77CF1">
        <w:rPr>
          <w:rFonts w:asciiTheme="minorHAnsi" w:hAnsiTheme="minorHAnsi" w:cstheme="minorHAnsi"/>
          <w:bCs/>
          <w:lang w:eastAsia="de-DE"/>
        </w:rPr>
        <w:t>a</w:t>
      </w:r>
      <w:proofErr w:type="gramEnd"/>
      <w:r w:rsidRPr="00F77CF1">
        <w:rPr>
          <w:rFonts w:asciiTheme="minorHAnsi" w:hAnsiTheme="minorHAnsi" w:cstheme="minorHAnsi"/>
          <w:bCs/>
          <w:lang w:eastAsia="de-DE"/>
        </w:rPr>
        <w:t xml:space="preserve"> </w:t>
      </w:r>
      <w:proofErr w:type="spellStart"/>
      <w:r w:rsidRPr="00F77CF1">
        <w:rPr>
          <w:rFonts w:asciiTheme="minorHAnsi" w:hAnsiTheme="minorHAnsi" w:cstheme="minorHAnsi"/>
          <w:bCs/>
          <w:lang w:eastAsia="de-DE"/>
        </w:rPr>
        <w:t>obiectivelor</w:t>
      </w:r>
      <w:proofErr w:type="spellEnd"/>
      <w:r w:rsidRPr="00F77CF1">
        <w:rPr>
          <w:rFonts w:asciiTheme="minorHAnsi" w:hAnsiTheme="minorHAnsi" w:cstheme="minorHAnsi"/>
          <w:bCs/>
          <w:lang w:eastAsia="de-DE"/>
        </w:rPr>
        <w:t xml:space="preserve"> </w:t>
      </w:r>
      <w:proofErr w:type="spellStart"/>
      <w:r w:rsidRPr="00F77CF1">
        <w:rPr>
          <w:rFonts w:asciiTheme="minorHAnsi" w:hAnsiTheme="minorHAnsi" w:cstheme="minorHAnsi"/>
          <w:bCs/>
          <w:lang w:eastAsia="de-DE"/>
        </w:rPr>
        <w:t>asumate</w:t>
      </w:r>
      <w:proofErr w:type="spellEnd"/>
      <w:r w:rsidRPr="00F77CF1">
        <w:rPr>
          <w:rFonts w:asciiTheme="minorHAnsi" w:hAnsiTheme="minorHAnsi" w:cstheme="minorHAnsi"/>
          <w:bCs/>
          <w:lang w:eastAsia="de-DE"/>
        </w:rPr>
        <w:t xml:space="preserve"> de </w:t>
      </w:r>
      <w:proofErr w:type="spellStart"/>
      <w:r w:rsidRPr="00F77CF1">
        <w:rPr>
          <w:rFonts w:asciiTheme="minorHAnsi" w:hAnsiTheme="minorHAnsi" w:cstheme="minorHAnsi"/>
          <w:bCs/>
          <w:lang w:eastAsia="de-DE"/>
        </w:rPr>
        <w:t>către</w:t>
      </w:r>
      <w:proofErr w:type="spellEnd"/>
      <w:r w:rsidRPr="00F77CF1">
        <w:rPr>
          <w:rFonts w:asciiTheme="minorHAnsi" w:hAnsiTheme="minorHAnsi" w:cstheme="minorHAnsi"/>
          <w:bCs/>
          <w:lang w:eastAsia="de-DE"/>
        </w:rPr>
        <w:t xml:space="preserve"> </w:t>
      </w:r>
      <w:proofErr w:type="spellStart"/>
      <w:r w:rsidRPr="00F77CF1">
        <w:rPr>
          <w:rFonts w:asciiTheme="minorHAnsi" w:hAnsiTheme="minorHAnsi" w:cstheme="minorHAnsi"/>
          <w:bCs/>
          <w:lang w:eastAsia="de-DE"/>
        </w:rPr>
        <w:t>beneficiar</w:t>
      </w:r>
      <w:proofErr w:type="spellEnd"/>
      <w:r w:rsidRPr="00F77CF1">
        <w:rPr>
          <w:rFonts w:asciiTheme="minorHAnsi" w:hAnsiTheme="minorHAnsi" w:cstheme="minorHAnsi"/>
          <w:bCs/>
          <w:lang w:eastAsia="de-DE"/>
        </w:rPr>
        <w:t xml:space="preserve"> </w:t>
      </w:r>
      <w:proofErr w:type="spellStart"/>
      <w:r w:rsidRPr="00F77CF1">
        <w:rPr>
          <w:rFonts w:asciiTheme="minorHAnsi" w:hAnsiTheme="minorHAnsi" w:cstheme="minorHAnsi"/>
          <w:bCs/>
          <w:lang w:eastAsia="de-DE"/>
        </w:rPr>
        <w:t>în</w:t>
      </w:r>
      <w:proofErr w:type="spellEnd"/>
      <w:r w:rsidRPr="00F77CF1">
        <w:rPr>
          <w:rFonts w:asciiTheme="minorHAnsi" w:hAnsiTheme="minorHAnsi" w:cstheme="minorHAnsi"/>
          <w:bCs/>
          <w:lang w:eastAsia="de-DE"/>
        </w:rPr>
        <w:t xml:space="preserve"> </w:t>
      </w:r>
      <w:proofErr w:type="spellStart"/>
      <w:r w:rsidRPr="00F77CF1">
        <w:rPr>
          <w:rFonts w:asciiTheme="minorHAnsi" w:hAnsiTheme="minorHAnsi" w:cstheme="minorHAnsi"/>
          <w:bCs/>
          <w:lang w:eastAsia="de-DE"/>
        </w:rPr>
        <w:t>cererea</w:t>
      </w:r>
      <w:proofErr w:type="spellEnd"/>
      <w:r w:rsidRPr="00F77CF1">
        <w:rPr>
          <w:rFonts w:asciiTheme="minorHAnsi" w:hAnsiTheme="minorHAnsi" w:cstheme="minorHAnsi"/>
          <w:bCs/>
          <w:lang w:eastAsia="de-DE"/>
        </w:rPr>
        <w:t xml:space="preserve"> de </w:t>
      </w:r>
      <w:proofErr w:type="spellStart"/>
      <w:r w:rsidRPr="00F77CF1">
        <w:rPr>
          <w:rFonts w:asciiTheme="minorHAnsi" w:hAnsiTheme="minorHAnsi" w:cstheme="minorHAnsi"/>
          <w:bCs/>
          <w:lang w:eastAsia="de-DE"/>
        </w:rPr>
        <w:t>finanțare</w:t>
      </w:r>
      <w:proofErr w:type="spellEnd"/>
      <w:r w:rsidRPr="00F77CF1">
        <w:rPr>
          <w:rFonts w:asciiTheme="minorHAnsi" w:hAnsiTheme="minorHAnsi" w:cstheme="minorHAnsi"/>
          <w:bCs/>
          <w:lang w:eastAsia="de-DE"/>
        </w:rPr>
        <w:t xml:space="preserve">, </w:t>
      </w:r>
      <w:proofErr w:type="spellStart"/>
      <w:r w:rsidRPr="00F77CF1">
        <w:rPr>
          <w:rFonts w:asciiTheme="minorHAnsi" w:hAnsiTheme="minorHAnsi" w:cstheme="minorHAnsi"/>
          <w:bCs/>
          <w:lang w:eastAsia="de-DE"/>
        </w:rPr>
        <w:t>respectării</w:t>
      </w:r>
      <w:proofErr w:type="spellEnd"/>
      <w:r w:rsidRPr="00F77CF1">
        <w:rPr>
          <w:rFonts w:asciiTheme="minorHAnsi" w:hAnsiTheme="minorHAnsi" w:cstheme="minorHAnsi"/>
          <w:bCs/>
          <w:lang w:eastAsia="de-DE"/>
        </w:rPr>
        <w:t xml:space="preserve"> </w:t>
      </w:r>
      <w:proofErr w:type="spellStart"/>
      <w:r w:rsidRPr="00F77CF1">
        <w:rPr>
          <w:rFonts w:asciiTheme="minorHAnsi" w:hAnsiTheme="minorHAnsi" w:cstheme="minorHAnsi"/>
          <w:bCs/>
          <w:lang w:eastAsia="de-DE"/>
        </w:rPr>
        <w:t>planului</w:t>
      </w:r>
      <w:proofErr w:type="spellEnd"/>
      <w:r w:rsidRPr="00F77CF1">
        <w:rPr>
          <w:rFonts w:asciiTheme="minorHAnsi" w:hAnsiTheme="minorHAnsi" w:cstheme="minorHAnsi"/>
          <w:bCs/>
          <w:lang w:eastAsia="de-DE"/>
        </w:rPr>
        <w:t xml:space="preserve"> de </w:t>
      </w:r>
      <w:proofErr w:type="spellStart"/>
      <w:r w:rsidRPr="00F77CF1">
        <w:rPr>
          <w:rFonts w:asciiTheme="minorHAnsi" w:hAnsiTheme="minorHAnsi" w:cstheme="minorHAnsi"/>
          <w:bCs/>
          <w:lang w:eastAsia="de-DE"/>
        </w:rPr>
        <w:t>monitorizare</w:t>
      </w:r>
      <w:proofErr w:type="spellEnd"/>
      <w:r w:rsidRPr="00F77CF1">
        <w:rPr>
          <w:rFonts w:asciiTheme="minorHAnsi" w:hAnsiTheme="minorHAnsi" w:cstheme="minorHAnsi"/>
          <w:bCs/>
          <w:lang w:eastAsia="de-DE"/>
        </w:rPr>
        <w:t>/</w:t>
      </w:r>
      <w:proofErr w:type="spellStart"/>
      <w:r w:rsidRPr="00F77CF1">
        <w:rPr>
          <w:rFonts w:asciiTheme="minorHAnsi" w:hAnsiTheme="minorHAnsi" w:cstheme="minorHAnsi"/>
          <w:bCs/>
          <w:lang w:eastAsia="de-DE"/>
        </w:rPr>
        <w:t>indicatorilor</w:t>
      </w:r>
      <w:proofErr w:type="spellEnd"/>
      <w:r w:rsidRPr="00F77CF1">
        <w:rPr>
          <w:rFonts w:asciiTheme="minorHAnsi" w:hAnsiTheme="minorHAnsi" w:cstheme="minorHAnsi"/>
          <w:bCs/>
          <w:lang w:eastAsia="de-DE"/>
        </w:rPr>
        <w:t xml:space="preserve"> de </w:t>
      </w:r>
      <w:proofErr w:type="spellStart"/>
      <w:r w:rsidRPr="00F77CF1">
        <w:rPr>
          <w:rFonts w:asciiTheme="minorHAnsi" w:hAnsiTheme="minorHAnsi" w:cstheme="minorHAnsi"/>
          <w:bCs/>
          <w:lang w:eastAsia="de-DE"/>
        </w:rPr>
        <w:t>etapă</w:t>
      </w:r>
      <w:proofErr w:type="spellEnd"/>
      <w:r w:rsidRPr="00F77CF1">
        <w:rPr>
          <w:rFonts w:asciiTheme="minorHAnsi" w:hAnsiTheme="minorHAnsi" w:cstheme="minorHAnsi"/>
          <w:bCs/>
          <w:lang w:eastAsia="de-DE"/>
        </w:rPr>
        <w:t xml:space="preserve">, precum </w:t>
      </w:r>
      <w:proofErr w:type="spellStart"/>
      <w:r w:rsidRPr="00F77CF1">
        <w:rPr>
          <w:rFonts w:asciiTheme="minorHAnsi" w:hAnsiTheme="minorHAnsi" w:cstheme="minorHAnsi"/>
          <w:bCs/>
          <w:lang w:eastAsia="de-DE"/>
        </w:rPr>
        <w:t>și</w:t>
      </w:r>
      <w:proofErr w:type="spellEnd"/>
      <w:r w:rsidRPr="00F77CF1">
        <w:rPr>
          <w:rFonts w:asciiTheme="minorHAnsi" w:hAnsiTheme="minorHAnsi" w:cstheme="minorHAnsi"/>
          <w:bCs/>
          <w:lang w:eastAsia="de-DE"/>
        </w:rPr>
        <w:t xml:space="preserve"> </w:t>
      </w:r>
      <w:proofErr w:type="spellStart"/>
      <w:r w:rsidRPr="00F77CF1">
        <w:rPr>
          <w:rFonts w:asciiTheme="minorHAnsi" w:hAnsiTheme="minorHAnsi" w:cstheme="minorHAnsi"/>
          <w:bCs/>
          <w:lang w:eastAsia="de-DE"/>
        </w:rPr>
        <w:t>modul</w:t>
      </w:r>
      <w:proofErr w:type="spellEnd"/>
      <w:r w:rsidRPr="00F77CF1">
        <w:rPr>
          <w:rFonts w:asciiTheme="minorHAnsi" w:hAnsiTheme="minorHAnsi" w:cstheme="minorHAnsi"/>
          <w:bCs/>
          <w:lang w:eastAsia="de-DE"/>
        </w:rPr>
        <w:t xml:space="preserve"> </w:t>
      </w:r>
      <w:proofErr w:type="spellStart"/>
      <w:r w:rsidRPr="00F77CF1">
        <w:rPr>
          <w:rFonts w:asciiTheme="minorHAnsi" w:hAnsiTheme="minorHAnsi" w:cstheme="minorHAnsi"/>
          <w:bCs/>
          <w:lang w:eastAsia="de-DE"/>
        </w:rPr>
        <w:t>în</w:t>
      </w:r>
      <w:proofErr w:type="spellEnd"/>
      <w:r w:rsidRPr="00F77CF1">
        <w:rPr>
          <w:rFonts w:asciiTheme="minorHAnsi" w:hAnsiTheme="minorHAnsi" w:cstheme="minorHAnsi"/>
          <w:bCs/>
          <w:lang w:eastAsia="de-DE"/>
        </w:rPr>
        <w:t xml:space="preserve"> care </w:t>
      </w:r>
      <w:proofErr w:type="spellStart"/>
      <w:r w:rsidRPr="00F77CF1">
        <w:rPr>
          <w:rFonts w:asciiTheme="minorHAnsi" w:hAnsiTheme="minorHAnsi" w:cstheme="minorHAnsi"/>
          <w:bCs/>
          <w:lang w:eastAsia="de-DE"/>
        </w:rPr>
        <w:t>beneficiarul</w:t>
      </w:r>
      <w:proofErr w:type="spellEnd"/>
      <w:r w:rsidRPr="00F77CF1">
        <w:rPr>
          <w:rFonts w:asciiTheme="minorHAnsi" w:hAnsiTheme="minorHAnsi" w:cstheme="minorHAnsi"/>
          <w:bCs/>
          <w:lang w:eastAsia="de-DE"/>
        </w:rPr>
        <w:t xml:space="preserve"> </w:t>
      </w:r>
      <w:proofErr w:type="spellStart"/>
      <w:r w:rsidRPr="00F77CF1">
        <w:rPr>
          <w:rFonts w:asciiTheme="minorHAnsi" w:hAnsiTheme="minorHAnsi" w:cstheme="minorHAnsi"/>
          <w:bCs/>
          <w:lang w:eastAsia="de-DE"/>
        </w:rPr>
        <w:t>respectă</w:t>
      </w:r>
      <w:proofErr w:type="spellEnd"/>
      <w:r w:rsidRPr="00F77CF1">
        <w:rPr>
          <w:rFonts w:asciiTheme="minorHAnsi" w:hAnsiTheme="minorHAnsi" w:cstheme="minorHAnsi"/>
          <w:bCs/>
          <w:lang w:eastAsia="de-DE"/>
        </w:rPr>
        <w:t xml:space="preserve"> </w:t>
      </w:r>
      <w:proofErr w:type="spellStart"/>
      <w:r w:rsidRPr="00F77CF1">
        <w:rPr>
          <w:rFonts w:asciiTheme="minorHAnsi" w:hAnsiTheme="minorHAnsi" w:cstheme="minorHAnsi"/>
          <w:bCs/>
          <w:lang w:eastAsia="de-DE"/>
        </w:rPr>
        <w:t>prevederile</w:t>
      </w:r>
      <w:proofErr w:type="spellEnd"/>
      <w:r w:rsidRPr="00F77CF1">
        <w:rPr>
          <w:rFonts w:asciiTheme="minorHAnsi" w:hAnsiTheme="minorHAnsi" w:cstheme="minorHAnsi"/>
          <w:bCs/>
          <w:lang w:eastAsia="de-DE"/>
        </w:rPr>
        <w:t xml:space="preserve"> </w:t>
      </w:r>
      <w:proofErr w:type="spellStart"/>
      <w:r w:rsidRPr="00F77CF1">
        <w:rPr>
          <w:rFonts w:asciiTheme="minorHAnsi" w:hAnsiTheme="minorHAnsi" w:cstheme="minorHAnsi"/>
          <w:bCs/>
          <w:lang w:eastAsia="de-DE"/>
        </w:rPr>
        <w:t>deciziei</w:t>
      </w:r>
      <w:proofErr w:type="spellEnd"/>
      <w:r w:rsidRPr="00F77CF1">
        <w:rPr>
          <w:rFonts w:asciiTheme="minorHAnsi" w:hAnsiTheme="minorHAnsi" w:cstheme="minorHAnsi"/>
          <w:bCs/>
          <w:lang w:eastAsia="de-DE"/>
        </w:rPr>
        <w:t xml:space="preserve"> </w:t>
      </w:r>
      <w:proofErr w:type="spellStart"/>
      <w:r w:rsidRPr="00F77CF1">
        <w:rPr>
          <w:rFonts w:asciiTheme="minorHAnsi" w:hAnsiTheme="minorHAnsi" w:cstheme="minorHAnsi"/>
          <w:bCs/>
          <w:lang w:eastAsia="de-DE"/>
        </w:rPr>
        <w:t>specifice</w:t>
      </w:r>
      <w:proofErr w:type="spellEnd"/>
      <w:r w:rsidRPr="00F77CF1">
        <w:rPr>
          <w:rFonts w:asciiTheme="minorHAnsi" w:hAnsiTheme="minorHAnsi" w:cstheme="minorHAnsi"/>
          <w:bCs/>
          <w:lang w:eastAsia="de-DE"/>
        </w:rPr>
        <w:t xml:space="preserve"> </w:t>
      </w:r>
      <w:proofErr w:type="spellStart"/>
      <w:r w:rsidRPr="00F77CF1">
        <w:rPr>
          <w:rFonts w:asciiTheme="minorHAnsi" w:hAnsiTheme="minorHAnsi" w:cstheme="minorHAnsi"/>
          <w:bCs/>
          <w:lang w:eastAsia="de-DE"/>
        </w:rPr>
        <w:t>Priorității</w:t>
      </w:r>
      <w:proofErr w:type="spellEnd"/>
      <w:r w:rsidRPr="00F77CF1">
        <w:rPr>
          <w:rFonts w:asciiTheme="minorHAnsi" w:hAnsiTheme="minorHAnsi" w:cstheme="minorHAnsi"/>
          <w:bCs/>
          <w:lang w:eastAsia="de-DE"/>
        </w:rPr>
        <w:t xml:space="preserve"> de </w:t>
      </w:r>
      <w:proofErr w:type="spellStart"/>
      <w:r w:rsidRPr="00F77CF1">
        <w:rPr>
          <w:rFonts w:asciiTheme="minorHAnsi" w:hAnsiTheme="minorHAnsi" w:cstheme="minorHAnsi"/>
          <w:bCs/>
          <w:lang w:eastAsia="de-DE"/>
        </w:rPr>
        <w:t>asistență</w:t>
      </w:r>
      <w:proofErr w:type="spellEnd"/>
      <w:r w:rsidRPr="00F77CF1">
        <w:rPr>
          <w:rFonts w:asciiTheme="minorHAnsi" w:hAnsiTheme="minorHAnsi" w:cstheme="minorHAnsi"/>
          <w:bCs/>
          <w:lang w:eastAsia="de-DE"/>
        </w:rPr>
        <w:t xml:space="preserve"> </w:t>
      </w:r>
      <w:proofErr w:type="spellStart"/>
      <w:r w:rsidRPr="00F77CF1">
        <w:rPr>
          <w:rFonts w:asciiTheme="minorHAnsi" w:hAnsiTheme="minorHAnsi" w:cstheme="minorHAnsi"/>
          <w:bCs/>
          <w:lang w:eastAsia="de-DE"/>
        </w:rPr>
        <w:t>tehnică</w:t>
      </w:r>
      <w:proofErr w:type="spellEnd"/>
      <w:r w:rsidRPr="00F77CF1">
        <w:rPr>
          <w:rFonts w:asciiTheme="minorHAnsi" w:hAnsiTheme="minorHAnsi" w:cstheme="minorHAnsi"/>
          <w:bCs/>
          <w:lang w:eastAsia="de-DE"/>
        </w:rPr>
        <w:t xml:space="preserve"> </w:t>
      </w:r>
      <w:proofErr w:type="spellStart"/>
      <w:r w:rsidRPr="00F77CF1">
        <w:rPr>
          <w:rFonts w:asciiTheme="minorHAnsi" w:hAnsiTheme="minorHAnsi" w:cstheme="minorHAnsi"/>
          <w:bCs/>
          <w:lang w:eastAsia="de-DE"/>
        </w:rPr>
        <w:t>în</w:t>
      </w:r>
      <w:proofErr w:type="spellEnd"/>
      <w:r w:rsidRPr="00F77CF1">
        <w:rPr>
          <w:rFonts w:asciiTheme="minorHAnsi" w:hAnsiTheme="minorHAnsi" w:cstheme="minorHAnsi"/>
          <w:bCs/>
          <w:lang w:eastAsia="de-DE"/>
        </w:rPr>
        <w:t xml:space="preserve"> </w:t>
      </w:r>
      <w:proofErr w:type="spellStart"/>
      <w:r w:rsidRPr="00F77CF1">
        <w:rPr>
          <w:rFonts w:asciiTheme="minorHAnsi" w:hAnsiTheme="minorHAnsi" w:cstheme="minorHAnsi"/>
          <w:bCs/>
          <w:lang w:eastAsia="de-DE"/>
        </w:rPr>
        <w:t>etapa</w:t>
      </w:r>
      <w:proofErr w:type="spellEnd"/>
      <w:r w:rsidRPr="00F77CF1">
        <w:rPr>
          <w:rFonts w:asciiTheme="minorHAnsi" w:hAnsiTheme="minorHAnsi" w:cstheme="minorHAnsi"/>
          <w:bCs/>
          <w:lang w:eastAsia="de-DE"/>
        </w:rPr>
        <w:t xml:space="preserve"> de </w:t>
      </w:r>
      <w:proofErr w:type="spellStart"/>
      <w:r w:rsidRPr="00F77CF1">
        <w:rPr>
          <w:rFonts w:asciiTheme="minorHAnsi" w:hAnsiTheme="minorHAnsi" w:cstheme="minorHAnsi"/>
          <w:bCs/>
          <w:lang w:eastAsia="de-DE"/>
        </w:rPr>
        <w:t>implementare</w:t>
      </w:r>
      <w:proofErr w:type="spellEnd"/>
      <w:r w:rsidRPr="00F77CF1">
        <w:rPr>
          <w:rFonts w:asciiTheme="minorHAnsi" w:hAnsiTheme="minorHAnsi" w:cstheme="minorHAnsi"/>
          <w:bCs/>
          <w:lang w:eastAsia="de-DE"/>
        </w:rPr>
        <w:t xml:space="preserve"> a </w:t>
      </w:r>
      <w:proofErr w:type="spellStart"/>
      <w:r w:rsidRPr="00F77CF1">
        <w:rPr>
          <w:rFonts w:asciiTheme="minorHAnsi" w:hAnsiTheme="minorHAnsi" w:cstheme="minorHAnsi"/>
          <w:bCs/>
          <w:lang w:eastAsia="de-DE"/>
        </w:rPr>
        <w:t>proiectului</w:t>
      </w:r>
      <w:proofErr w:type="spellEnd"/>
      <w:r w:rsidR="005A6348" w:rsidRPr="00F77CF1">
        <w:rPr>
          <w:rFonts w:asciiTheme="minorHAnsi" w:hAnsiTheme="minorHAnsi" w:cstheme="minorHAnsi"/>
          <w:bCs/>
          <w:lang w:eastAsia="de-DE"/>
        </w:rPr>
        <w:t>.</w:t>
      </w:r>
    </w:p>
    <w:p w14:paraId="3F5A2C47" w14:textId="606BFCB0" w:rsidR="003C7415" w:rsidRPr="003C7415" w:rsidRDefault="00F828FF" w:rsidP="006750B8">
      <w:pPr>
        <w:numPr>
          <w:ilvl w:val="0"/>
          <w:numId w:val="16"/>
        </w:numPr>
        <w:spacing w:after="0" w:line="240" w:lineRule="auto"/>
        <w:contextualSpacing/>
        <w:jc w:val="both"/>
        <w:rPr>
          <w:rFonts w:eastAsia="Times New Roman" w:cstheme="minorHAnsi"/>
        </w:rPr>
      </w:pPr>
      <w:r>
        <w:rPr>
          <w:rFonts w:eastAsia="Times New Roman" w:cstheme="minorHAnsi"/>
        </w:rPr>
        <w:t xml:space="preserve">În situaţia nerealizării la termen </w:t>
      </w:r>
      <w:r w:rsidRPr="00F77CF1">
        <w:rPr>
          <w:rFonts w:eastAsia="Times New Roman" w:cstheme="minorHAnsi"/>
        </w:rPr>
        <w:t>a indicatorilor de etapă</w:t>
      </w:r>
      <w:r>
        <w:rPr>
          <w:rFonts w:eastAsia="Times New Roman" w:cstheme="minorHAnsi"/>
        </w:rPr>
        <w:t>,</w:t>
      </w:r>
      <w:r w:rsidRPr="00F77CF1">
        <w:rPr>
          <w:rFonts w:eastAsia="Times New Roman" w:cstheme="minorHAnsi"/>
        </w:rPr>
        <w:t xml:space="preserve"> AM are dreptul de a adopta și implementa</w:t>
      </w:r>
      <w:r>
        <w:rPr>
          <w:rFonts w:eastAsia="Times New Roman" w:cstheme="minorHAnsi"/>
        </w:rPr>
        <w:t>,</w:t>
      </w:r>
      <w:r w:rsidRPr="00F77CF1">
        <w:rPr>
          <w:rFonts w:eastAsia="Times New Roman" w:cstheme="minorHAnsi"/>
        </w:rPr>
        <w:t xml:space="preserve"> în funcţie de riscurile identificate, acţiuni şi măsuri de monitorizare consolidată după cum urmează:</w:t>
      </w:r>
    </w:p>
    <w:p w14:paraId="65E2409E" w14:textId="0729BE20" w:rsidR="00BB72EF" w:rsidRDefault="000A55DB" w:rsidP="006750B8">
      <w:pPr>
        <w:pStyle w:val="ListParagraph"/>
        <w:numPr>
          <w:ilvl w:val="0"/>
          <w:numId w:val="30"/>
        </w:numPr>
        <w:spacing w:after="0"/>
        <w:jc w:val="both"/>
      </w:pPr>
      <w:proofErr w:type="spellStart"/>
      <w:r>
        <w:t>va</w:t>
      </w:r>
      <w:proofErr w:type="spellEnd"/>
      <w:r>
        <w:t xml:space="preserve"> </w:t>
      </w:r>
      <w:proofErr w:type="spellStart"/>
      <w:r>
        <w:t>notifica</w:t>
      </w:r>
      <w:proofErr w:type="spellEnd"/>
      <w:r>
        <w:t xml:space="preserve"> </w:t>
      </w:r>
      <w:proofErr w:type="spellStart"/>
      <w:r>
        <w:t>beneficiarul</w:t>
      </w:r>
      <w:proofErr w:type="spellEnd"/>
      <w:r>
        <w:t xml:space="preserve"> </w:t>
      </w:r>
      <w:proofErr w:type="spellStart"/>
      <w:r>
        <w:t>și</w:t>
      </w:r>
      <w:proofErr w:type="spellEnd"/>
      <w:r>
        <w:t xml:space="preserve"> i se va solicita de către AM PR SE, </w:t>
      </w:r>
      <w:proofErr w:type="spellStart"/>
      <w:r>
        <w:t>transmiterea</w:t>
      </w:r>
      <w:proofErr w:type="spellEnd"/>
      <w:r>
        <w:t xml:space="preserve"> </w:t>
      </w:r>
      <w:proofErr w:type="spellStart"/>
      <w:r>
        <w:t>documentelor</w:t>
      </w:r>
      <w:proofErr w:type="spellEnd"/>
      <w:r>
        <w:t xml:space="preserve"> justificative/</w:t>
      </w:r>
      <w:proofErr w:type="spellStart"/>
      <w:r>
        <w:t>dovedirea</w:t>
      </w:r>
      <w:proofErr w:type="spellEnd"/>
      <w:r>
        <w:t xml:space="preserve"> </w:t>
      </w:r>
      <w:proofErr w:type="spellStart"/>
      <w:r>
        <w:t>cauzelor</w:t>
      </w:r>
      <w:proofErr w:type="spellEnd"/>
      <w:r>
        <w:t xml:space="preserve"> </w:t>
      </w:r>
      <w:proofErr w:type="spellStart"/>
      <w:r>
        <w:t>obiective</w:t>
      </w:r>
      <w:proofErr w:type="spellEnd"/>
      <w:r>
        <w:t xml:space="preserve"> </w:t>
      </w:r>
      <w:proofErr w:type="spellStart"/>
      <w:r>
        <w:t>pentru</w:t>
      </w:r>
      <w:proofErr w:type="spellEnd"/>
      <w:r>
        <w:t xml:space="preserve"> </w:t>
      </w:r>
      <w:proofErr w:type="spellStart"/>
      <w:r>
        <w:t>nerealizarea</w:t>
      </w:r>
      <w:proofErr w:type="spellEnd"/>
      <w:r>
        <w:t xml:space="preserve"> la termen </w:t>
      </w:r>
      <w:proofErr w:type="gramStart"/>
      <w:r>
        <w:t>a</w:t>
      </w:r>
      <w:proofErr w:type="gramEnd"/>
      <w:r>
        <w:t xml:space="preserve"> </w:t>
      </w:r>
      <w:proofErr w:type="spellStart"/>
      <w:r>
        <w:t>indicatorilor</w:t>
      </w:r>
      <w:proofErr w:type="spellEnd"/>
      <w:r>
        <w:t xml:space="preserve"> de </w:t>
      </w:r>
      <w:proofErr w:type="spellStart"/>
      <w:r>
        <w:t>etapă</w:t>
      </w:r>
      <w:proofErr w:type="spellEnd"/>
      <w:r>
        <w:t xml:space="preserve">, </w:t>
      </w:r>
      <w:proofErr w:type="spellStart"/>
      <w:r>
        <w:t>în</w:t>
      </w:r>
      <w:proofErr w:type="spellEnd"/>
      <w:r>
        <w:t xml:space="preserve"> termen de 5 </w:t>
      </w:r>
      <w:proofErr w:type="spellStart"/>
      <w:r>
        <w:t>zile</w:t>
      </w:r>
      <w:proofErr w:type="spellEnd"/>
      <w:r>
        <w:t xml:space="preserve"> </w:t>
      </w:r>
      <w:proofErr w:type="spellStart"/>
      <w:r>
        <w:t>lucrătoare</w:t>
      </w:r>
      <w:proofErr w:type="spellEnd"/>
      <w:r>
        <w:t xml:space="preserve"> de la </w:t>
      </w:r>
      <w:proofErr w:type="spellStart"/>
      <w:r>
        <w:t>primirea</w:t>
      </w:r>
      <w:proofErr w:type="spellEnd"/>
      <w:r>
        <w:t xml:space="preserve"> </w:t>
      </w:r>
      <w:proofErr w:type="spellStart"/>
      <w:r>
        <w:t>notificării</w:t>
      </w:r>
      <w:proofErr w:type="spellEnd"/>
      <w:r w:rsidR="003C7415">
        <w:t>;</w:t>
      </w:r>
    </w:p>
    <w:p w14:paraId="1E85F764" w14:textId="3D4EFCBD" w:rsidR="000A55DB" w:rsidRDefault="000A55DB" w:rsidP="003C7415">
      <w:pPr>
        <w:pStyle w:val="ListParagraph"/>
        <w:numPr>
          <w:ilvl w:val="0"/>
          <w:numId w:val="30"/>
        </w:numPr>
        <w:spacing w:after="0"/>
        <w:jc w:val="both"/>
      </w:pPr>
      <w:proofErr w:type="spellStart"/>
      <w:r>
        <w:t>va</w:t>
      </w:r>
      <w:proofErr w:type="spellEnd"/>
      <w:r>
        <w:t xml:space="preserve"> </w:t>
      </w:r>
      <w:proofErr w:type="spellStart"/>
      <w:r>
        <w:t>solicita</w:t>
      </w:r>
      <w:proofErr w:type="spellEnd"/>
      <w:r>
        <w:t xml:space="preserve"> </w:t>
      </w:r>
      <w:proofErr w:type="spellStart"/>
      <w:r>
        <w:t>beneficiarului</w:t>
      </w:r>
      <w:proofErr w:type="spellEnd"/>
      <w:r>
        <w:t xml:space="preserve"> </w:t>
      </w:r>
      <w:proofErr w:type="spellStart"/>
      <w:r>
        <w:t>transmiterea</w:t>
      </w:r>
      <w:proofErr w:type="spellEnd"/>
      <w:r>
        <w:t xml:space="preserve"> unui plan de acțiuni și măsu</w:t>
      </w:r>
      <w:proofErr w:type="spellStart"/>
      <w:r>
        <w:t>ri</w:t>
      </w:r>
      <w:proofErr w:type="spellEnd"/>
      <w:r>
        <w:t xml:space="preserve"> </w:t>
      </w:r>
      <w:proofErr w:type="spellStart"/>
      <w:r>
        <w:t>în</w:t>
      </w:r>
      <w:proofErr w:type="spellEnd"/>
      <w:r>
        <w:t xml:space="preserve"> care </w:t>
      </w:r>
      <w:proofErr w:type="spellStart"/>
      <w:r>
        <w:t>va</w:t>
      </w:r>
      <w:proofErr w:type="spellEnd"/>
      <w:r>
        <w:t xml:space="preserve"> </w:t>
      </w:r>
      <w:proofErr w:type="gramStart"/>
      <w:r>
        <w:t xml:space="preserve">fi  </w:t>
      </w:r>
      <w:proofErr w:type="spellStart"/>
      <w:r>
        <w:t>indicat</w:t>
      </w:r>
      <w:proofErr w:type="spellEnd"/>
      <w:proofErr w:type="gramEnd"/>
      <w:r>
        <w:t xml:space="preserve"> </w:t>
      </w:r>
      <w:proofErr w:type="spellStart"/>
      <w:r>
        <w:t>modul</w:t>
      </w:r>
      <w:proofErr w:type="spellEnd"/>
      <w:r>
        <w:t xml:space="preserve"> de </w:t>
      </w:r>
      <w:proofErr w:type="spellStart"/>
      <w:r>
        <w:t>recuperare</w:t>
      </w:r>
      <w:proofErr w:type="spellEnd"/>
      <w:r>
        <w:t xml:space="preserve"> a </w:t>
      </w:r>
      <w:proofErr w:type="spellStart"/>
      <w:r>
        <w:t>întârzierilor</w:t>
      </w:r>
      <w:proofErr w:type="spellEnd"/>
      <w:r>
        <w:t xml:space="preserve">, </w:t>
      </w:r>
      <w:proofErr w:type="spellStart"/>
      <w:r>
        <w:t>soluția</w:t>
      </w:r>
      <w:proofErr w:type="spellEnd"/>
      <w:r>
        <w:t xml:space="preserve"> </w:t>
      </w:r>
      <w:proofErr w:type="spellStart"/>
      <w:r>
        <w:t>prin</w:t>
      </w:r>
      <w:proofErr w:type="spellEnd"/>
      <w:r>
        <w:t xml:space="preserve"> care se </w:t>
      </w:r>
      <w:proofErr w:type="spellStart"/>
      <w:r>
        <w:t>va</w:t>
      </w:r>
      <w:proofErr w:type="spellEnd"/>
      <w:r>
        <w:t xml:space="preserve"> </w:t>
      </w:r>
      <w:proofErr w:type="spellStart"/>
      <w:r>
        <w:t>ajunge</w:t>
      </w:r>
      <w:proofErr w:type="spellEnd"/>
      <w:r>
        <w:t xml:space="preserve"> la </w:t>
      </w:r>
      <w:proofErr w:type="spellStart"/>
      <w:r>
        <w:t>indeplinirea</w:t>
      </w:r>
      <w:proofErr w:type="spellEnd"/>
      <w:r>
        <w:t xml:space="preserve"> </w:t>
      </w:r>
      <w:proofErr w:type="spellStart"/>
      <w:r>
        <w:t>indicatorului</w:t>
      </w:r>
      <w:proofErr w:type="spellEnd"/>
      <w:r>
        <w:t xml:space="preserve"> de </w:t>
      </w:r>
      <w:proofErr w:type="spellStart"/>
      <w:r>
        <w:t>etapă</w:t>
      </w:r>
      <w:proofErr w:type="spellEnd"/>
      <w:r>
        <w:t xml:space="preserve"> </w:t>
      </w:r>
      <w:proofErr w:type="spellStart"/>
      <w:r>
        <w:t>nerealizat</w:t>
      </w:r>
      <w:proofErr w:type="spellEnd"/>
      <w:r>
        <w:t xml:space="preserve"> </w:t>
      </w:r>
      <w:proofErr w:type="spellStart"/>
      <w:r>
        <w:t>și</w:t>
      </w:r>
      <w:proofErr w:type="spellEnd"/>
      <w:r>
        <w:t xml:space="preserve"> </w:t>
      </w:r>
      <w:proofErr w:type="spellStart"/>
      <w:r>
        <w:t>noul</w:t>
      </w:r>
      <w:proofErr w:type="spellEnd"/>
      <w:r>
        <w:t xml:space="preserve"> termen </w:t>
      </w:r>
      <w:proofErr w:type="spellStart"/>
      <w:r>
        <w:t>pentru</w:t>
      </w:r>
      <w:proofErr w:type="spellEnd"/>
      <w:r>
        <w:t xml:space="preserve"> </w:t>
      </w:r>
      <w:proofErr w:type="spellStart"/>
      <w:r>
        <w:t>indeplinirea</w:t>
      </w:r>
      <w:proofErr w:type="spellEnd"/>
      <w:r>
        <w:t xml:space="preserve"> </w:t>
      </w:r>
      <w:proofErr w:type="spellStart"/>
      <w:r>
        <w:t>acestuia</w:t>
      </w:r>
      <w:proofErr w:type="spellEnd"/>
      <w:r>
        <w:t xml:space="preserve">, </w:t>
      </w:r>
      <w:proofErr w:type="spellStart"/>
      <w:r>
        <w:t>agreeat</w:t>
      </w:r>
      <w:proofErr w:type="spellEnd"/>
      <w:r>
        <w:t xml:space="preserve"> </w:t>
      </w:r>
      <w:proofErr w:type="spellStart"/>
      <w:r>
        <w:t>în</w:t>
      </w:r>
      <w:proofErr w:type="spellEnd"/>
      <w:r>
        <w:t xml:space="preserve"> </w:t>
      </w:r>
      <w:proofErr w:type="spellStart"/>
      <w:r>
        <w:t>prealabil</w:t>
      </w:r>
      <w:proofErr w:type="spellEnd"/>
      <w:r>
        <w:t xml:space="preserve"> cu AM PR SE. </w:t>
      </w:r>
      <w:proofErr w:type="spellStart"/>
      <w:r>
        <w:t>Acțiunile</w:t>
      </w:r>
      <w:proofErr w:type="spellEnd"/>
      <w:r>
        <w:t xml:space="preserve"> </w:t>
      </w:r>
      <w:proofErr w:type="spellStart"/>
      <w:r>
        <w:t>și</w:t>
      </w:r>
      <w:proofErr w:type="spellEnd"/>
      <w:r>
        <w:t xml:space="preserve"> </w:t>
      </w:r>
      <w:proofErr w:type="spellStart"/>
      <w:r>
        <w:t>măsurile</w:t>
      </w:r>
      <w:proofErr w:type="spellEnd"/>
      <w:r>
        <w:t xml:space="preserve"> </w:t>
      </w:r>
      <w:proofErr w:type="spellStart"/>
      <w:r>
        <w:t>vor</w:t>
      </w:r>
      <w:proofErr w:type="spellEnd"/>
      <w:r>
        <w:t xml:space="preserve"> fi </w:t>
      </w:r>
      <w:proofErr w:type="spellStart"/>
      <w:r>
        <w:t>stabilite</w:t>
      </w:r>
      <w:proofErr w:type="spellEnd"/>
      <w:r>
        <w:t xml:space="preserve"> </w:t>
      </w:r>
      <w:proofErr w:type="spellStart"/>
      <w:r>
        <w:t>astfel</w:t>
      </w:r>
      <w:proofErr w:type="spellEnd"/>
      <w:r>
        <w:t xml:space="preserve"> </w:t>
      </w:r>
      <w:proofErr w:type="spellStart"/>
      <w:r>
        <w:t>încât</w:t>
      </w:r>
      <w:proofErr w:type="spellEnd"/>
      <w:r>
        <w:t xml:space="preserve"> </w:t>
      </w:r>
      <w:proofErr w:type="spellStart"/>
      <w:r>
        <w:t>să</w:t>
      </w:r>
      <w:proofErr w:type="spellEnd"/>
      <w:r>
        <w:t xml:space="preserve"> nu </w:t>
      </w:r>
      <w:proofErr w:type="spellStart"/>
      <w:r>
        <w:t>afecteze</w:t>
      </w:r>
      <w:proofErr w:type="spellEnd"/>
      <w:r>
        <w:t xml:space="preserve"> </w:t>
      </w:r>
      <w:proofErr w:type="spellStart"/>
      <w:r>
        <w:t>îndeplinirea</w:t>
      </w:r>
      <w:proofErr w:type="spellEnd"/>
      <w:r>
        <w:t xml:space="preserve"> </w:t>
      </w:r>
      <w:proofErr w:type="spellStart"/>
      <w:r>
        <w:t>următorilor</w:t>
      </w:r>
      <w:proofErr w:type="spellEnd"/>
      <w:r>
        <w:t xml:space="preserve"> </w:t>
      </w:r>
      <w:proofErr w:type="spellStart"/>
      <w:r>
        <w:t>indicatori</w:t>
      </w:r>
      <w:proofErr w:type="spellEnd"/>
      <w:r>
        <w:t xml:space="preserve"> de </w:t>
      </w:r>
      <w:proofErr w:type="spellStart"/>
      <w:r>
        <w:t>etapă</w:t>
      </w:r>
      <w:proofErr w:type="spellEnd"/>
      <w:r>
        <w:t xml:space="preserve"> </w:t>
      </w:r>
      <w:proofErr w:type="spellStart"/>
      <w:r>
        <w:t>prevăzuți</w:t>
      </w:r>
      <w:proofErr w:type="spellEnd"/>
      <w:r>
        <w:t xml:space="preserve"> </w:t>
      </w:r>
      <w:proofErr w:type="spellStart"/>
      <w:r>
        <w:t>în</w:t>
      </w:r>
      <w:proofErr w:type="spellEnd"/>
      <w:r>
        <w:t xml:space="preserve"> </w:t>
      </w:r>
      <w:proofErr w:type="spellStart"/>
      <w:r>
        <w:t>planul</w:t>
      </w:r>
      <w:proofErr w:type="spellEnd"/>
      <w:r>
        <w:t xml:space="preserve"> de </w:t>
      </w:r>
      <w:proofErr w:type="spellStart"/>
      <w:r>
        <w:t>monitorizare</w:t>
      </w:r>
      <w:proofErr w:type="spellEnd"/>
      <w:r w:rsidR="003C7415">
        <w:t>;</w:t>
      </w:r>
    </w:p>
    <w:p w14:paraId="24E7B5D3" w14:textId="63682A17" w:rsidR="00F828FF" w:rsidRPr="000C4FF5" w:rsidRDefault="00F828FF" w:rsidP="000C4FF5">
      <w:pPr>
        <w:pStyle w:val="ListParagraph"/>
        <w:numPr>
          <w:ilvl w:val="0"/>
          <w:numId w:val="30"/>
        </w:numPr>
        <w:spacing w:after="0"/>
        <w:jc w:val="both"/>
      </w:pPr>
      <w:proofErr w:type="spellStart"/>
      <w:r w:rsidRPr="000C4FF5">
        <w:rPr>
          <w:rFonts w:cstheme="minorHAnsi"/>
        </w:rPr>
        <w:t>vizite</w:t>
      </w:r>
      <w:proofErr w:type="spellEnd"/>
      <w:r w:rsidRPr="000C4FF5">
        <w:rPr>
          <w:rFonts w:cstheme="minorHAnsi"/>
        </w:rPr>
        <w:t xml:space="preserve"> de </w:t>
      </w:r>
      <w:proofErr w:type="spellStart"/>
      <w:r w:rsidRPr="000C4FF5">
        <w:rPr>
          <w:rFonts w:cstheme="minorHAnsi"/>
        </w:rPr>
        <w:t>monitorizare</w:t>
      </w:r>
      <w:proofErr w:type="spellEnd"/>
      <w:r w:rsidR="000C4FF5">
        <w:rPr>
          <w:rFonts w:cstheme="minorHAnsi"/>
        </w:rPr>
        <w:t>;</w:t>
      </w:r>
    </w:p>
    <w:p w14:paraId="6837203D" w14:textId="39DCCB31" w:rsidR="00F828FF" w:rsidRPr="000C4FF5" w:rsidRDefault="00F828FF" w:rsidP="000C4FF5">
      <w:pPr>
        <w:pStyle w:val="ListParagraph"/>
        <w:numPr>
          <w:ilvl w:val="0"/>
          <w:numId w:val="30"/>
        </w:numPr>
        <w:spacing w:after="0"/>
        <w:jc w:val="both"/>
      </w:pPr>
      <w:proofErr w:type="spellStart"/>
      <w:r w:rsidRPr="000C4FF5">
        <w:rPr>
          <w:rFonts w:cstheme="minorHAnsi"/>
        </w:rPr>
        <w:t>întâlniri</w:t>
      </w:r>
      <w:proofErr w:type="spellEnd"/>
      <w:r w:rsidRPr="000C4FF5">
        <w:rPr>
          <w:rFonts w:cstheme="minorHAnsi"/>
        </w:rPr>
        <w:t xml:space="preserve"> pentru discutarea unor probleme punctuale cu beneficiarul și sprijinirea </w:t>
      </w:r>
      <w:proofErr w:type="spellStart"/>
      <w:r w:rsidRPr="000C4FF5">
        <w:rPr>
          <w:rFonts w:cstheme="minorHAnsi"/>
        </w:rPr>
        <w:t>în</w:t>
      </w:r>
      <w:proofErr w:type="spellEnd"/>
      <w:r w:rsidRPr="000C4FF5">
        <w:rPr>
          <w:rFonts w:cstheme="minorHAnsi"/>
        </w:rPr>
        <w:t xml:space="preserve"> </w:t>
      </w:r>
      <w:proofErr w:type="spellStart"/>
      <w:r w:rsidRPr="000C4FF5">
        <w:rPr>
          <w:rFonts w:cstheme="minorHAnsi"/>
        </w:rPr>
        <w:t>identificarea</w:t>
      </w:r>
      <w:proofErr w:type="spellEnd"/>
      <w:r w:rsidRPr="000C4FF5">
        <w:rPr>
          <w:rFonts w:cstheme="minorHAnsi"/>
        </w:rPr>
        <w:t xml:space="preserve"> </w:t>
      </w:r>
      <w:proofErr w:type="spellStart"/>
      <w:r w:rsidRPr="000C4FF5">
        <w:rPr>
          <w:rFonts w:cstheme="minorHAnsi"/>
        </w:rPr>
        <w:t>soluțiilor</w:t>
      </w:r>
      <w:proofErr w:type="spellEnd"/>
      <w:r w:rsidRPr="000C4FF5">
        <w:rPr>
          <w:rFonts w:cstheme="minorHAnsi"/>
        </w:rPr>
        <w:t xml:space="preserve"> </w:t>
      </w:r>
      <w:proofErr w:type="spellStart"/>
      <w:r w:rsidRPr="000C4FF5">
        <w:rPr>
          <w:rFonts w:cstheme="minorHAnsi"/>
        </w:rPr>
        <w:t>posibile</w:t>
      </w:r>
      <w:proofErr w:type="spellEnd"/>
      <w:r w:rsidR="000C4FF5">
        <w:rPr>
          <w:rFonts w:cstheme="minorHAnsi"/>
        </w:rPr>
        <w:t>;</w:t>
      </w:r>
    </w:p>
    <w:p w14:paraId="25DCB408" w14:textId="25C9FA72" w:rsidR="00F828FF" w:rsidRPr="000C4FF5" w:rsidRDefault="00F828FF" w:rsidP="000C4FF5">
      <w:pPr>
        <w:pStyle w:val="ListParagraph"/>
        <w:numPr>
          <w:ilvl w:val="0"/>
          <w:numId w:val="30"/>
        </w:numPr>
        <w:spacing w:after="0"/>
        <w:jc w:val="both"/>
      </w:pPr>
      <w:proofErr w:type="spellStart"/>
      <w:r w:rsidRPr="000C4FF5">
        <w:rPr>
          <w:rFonts w:cstheme="minorHAnsi"/>
        </w:rPr>
        <w:t>analiza</w:t>
      </w:r>
      <w:proofErr w:type="spellEnd"/>
      <w:r w:rsidRPr="000C4FF5">
        <w:rPr>
          <w:rFonts w:cstheme="minorHAnsi"/>
        </w:rPr>
        <w:t xml:space="preserve"> informațiilor rezultate din rapoartele de progres și documentele justificative atașate pentru identificarea și preîntâmpinarea problemelor ce ar putea să </w:t>
      </w:r>
      <w:proofErr w:type="spellStart"/>
      <w:r w:rsidRPr="000C4FF5">
        <w:rPr>
          <w:rFonts w:cstheme="minorHAnsi"/>
        </w:rPr>
        <w:t>apară</w:t>
      </w:r>
      <w:proofErr w:type="spellEnd"/>
      <w:r w:rsidRPr="000C4FF5">
        <w:rPr>
          <w:rFonts w:cstheme="minorHAnsi"/>
        </w:rPr>
        <w:t xml:space="preserve"> </w:t>
      </w:r>
      <w:proofErr w:type="spellStart"/>
      <w:r w:rsidRPr="000C4FF5">
        <w:rPr>
          <w:rFonts w:cstheme="minorHAnsi"/>
        </w:rPr>
        <w:t>în</w:t>
      </w:r>
      <w:proofErr w:type="spellEnd"/>
      <w:r w:rsidRPr="000C4FF5">
        <w:rPr>
          <w:rFonts w:cstheme="minorHAnsi"/>
        </w:rPr>
        <w:t xml:space="preserve"> </w:t>
      </w:r>
      <w:proofErr w:type="spellStart"/>
      <w:r w:rsidRPr="000C4FF5">
        <w:rPr>
          <w:rFonts w:cstheme="minorHAnsi"/>
        </w:rPr>
        <w:t>implementarea</w:t>
      </w:r>
      <w:proofErr w:type="spellEnd"/>
      <w:r w:rsidRPr="000C4FF5">
        <w:rPr>
          <w:rFonts w:cstheme="minorHAnsi"/>
        </w:rPr>
        <w:t xml:space="preserve"> </w:t>
      </w:r>
      <w:proofErr w:type="spellStart"/>
      <w:r w:rsidRPr="000C4FF5">
        <w:rPr>
          <w:rFonts w:cstheme="minorHAnsi"/>
        </w:rPr>
        <w:t>proiectelor</w:t>
      </w:r>
      <w:proofErr w:type="spellEnd"/>
      <w:r w:rsidR="000C4FF5">
        <w:rPr>
          <w:rFonts w:cstheme="minorHAnsi"/>
        </w:rPr>
        <w:t>;</w:t>
      </w:r>
    </w:p>
    <w:p w14:paraId="1EF351A7" w14:textId="57BA0A9B" w:rsidR="00F828FF" w:rsidRPr="000C4FF5" w:rsidRDefault="00F828FF" w:rsidP="000C4FF5">
      <w:pPr>
        <w:pStyle w:val="ListParagraph"/>
        <w:numPr>
          <w:ilvl w:val="0"/>
          <w:numId w:val="30"/>
        </w:numPr>
        <w:spacing w:after="0"/>
        <w:jc w:val="both"/>
      </w:pPr>
      <w:proofErr w:type="spellStart"/>
      <w:r w:rsidRPr="000C4FF5">
        <w:rPr>
          <w:rFonts w:cstheme="minorHAnsi"/>
        </w:rPr>
        <w:t>analiza</w:t>
      </w:r>
      <w:proofErr w:type="spellEnd"/>
      <w:r w:rsidRPr="000C4FF5">
        <w:rPr>
          <w:rFonts w:cstheme="minorHAnsi"/>
        </w:rPr>
        <w:t xml:space="preserve"> </w:t>
      </w:r>
      <w:proofErr w:type="spellStart"/>
      <w:r w:rsidRPr="000C4FF5">
        <w:rPr>
          <w:rFonts w:cstheme="minorHAnsi"/>
        </w:rPr>
        <w:t>justificărilor</w:t>
      </w:r>
      <w:proofErr w:type="spellEnd"/>
      <w:r w:rsidRPr="000C4FF5">
        <w:rPr>
          <w:rFonts w:cstheme="minorHAnsi"/>
        </w:rPr>
        <w:t xml:space="preserve"> </w:t>
      </w:r>
      <w:proofErr w:type="spellStart"/>
      <w:r w:rsidRPr="000C4FF5">
        <w:rPr>
          <w:rFonts w:cstheme="minorHAnsi"/>
        </w:rPr>
        <w:t>beneficiarului</w:t>
      </w:r>
      <w:proofErr w:type="spellEnd"/>
      <w:r w:rsidRPr="000C4FF5">
        <w:rPr>
          <w:rFonts w:cstheme="minorHAnsi"/>
        </w:rPr>
        <w:t xml:space="preserve"> </w:t>
      </w:r>
      <w:proofErr w:type="spellStart"/>
      <w:r w:rsidRPr="000C4FF5">
        <w:rPr>
          <w:rFonts w:cstheme="minorHAnsi"/>
        </w:rPr>
        <w:t>în</w:t>
      </w:r>
      <w:proofErr w:type="spellEnd"/>
      <w:r w:rsidRPr="000C4FF5">
        <w:rPr>
          <w:rFonts w:cstheme="minorHAnsi"/>
        </w:rPr>
        <w:t xml:space="preserve"> cazul întârzierilor sau nerealizării indicatorilor de etapă și stabilirea unor noi termene, precum și a posibilelor măsuri de remediere.</w:t>
      </w:r>
    </w:p>
    <w:p w14:paraId="3702BB54" w14:textId="3F89590B" w:rsidR="00F828FF" w:rsidRPr="00974649" w:rsidRDefault="00F828FF" w:rsidP="00974649">
      <w:pPr>
        <w:jc w:val="both"/>
      </w:pPr>
      <w:r>
        <w:t xml:space="preserve">(3) </w:t>
      </w:r>
      <w:r w:rsidR="006750B8">
        <w:t xml:space="preserve"> </w:t>
      </w:r>
      <w:r>
        <w:t>Măsurile corective specificate la art. 13 alin. (1</w:t>
      </w:r>
      <w:r>
        <w:t>1</w:t>
      </w:r>
      <w:r>
        <w:t xml:space="preserve">) literele (a) - (f) din </w:t>
      </w:r>
      <w:r w:rsidR="00CA3B37">
        <w:t>Decizia</w:t>
      </w:r>
      <w:r>
        <w:t xml:space="preserve"> de finanțare - </w:t>
      </w:r>
      <w:r>
        <w:t xml:space="preserve">   </w:t>
      </w:r>
      <w:r>
        <w:t>Condiții</w:t>
      </w:r>
      <w:r w:rsidR="00CA3B37">
        <w:t xml:space="preserve"> </w:t>
      </w:r>
      <w:r>
        <w:t xml:space="preserve">generale, pot fi aplicate de catre AM PR SE în mod gradual. </w:t>
      </w:r>
    </w:p>
    <w:p w14:paraId="2A2EBBAB" w14:textId="77777777" w:rsidR="008A2E12" w:rsidRPr="00B32A0F" w:rsidRDefault="008A2E12" w:rsidP="008A2E12">
      <w:pPr>
        <w:spacing w:after="120" w:line="240" w:lineRule="auto"/>
        <w:ind w:left="720"/>
        <w:contextualSpacing/>
        <w:jc w:val="both"/>
        <w:rPr>
          <w:rFonts w:eastAsia="Times New Roman" w:cstheme="minorHAnsi"/>
          <w:strike/>
          <w:highlight w:val="cyan"/>
        </w:rPr>
      </w:pPr>
    </w:p>
    <w:p w14:paraId="40F627A4" w14:textId="77777777" w:rsidR="002D37D7" w:rsidRPr="00A61C18" w:rsidRDefault="002D37D7" w:rsidP="002D37D7">
      <w:pPr>
        <w:spacing w:after="0" w:line="240" w:lineRule="auto"/>
        <w:jc w:val="both"/>
        <w:rPr>
          <w:rFonts w:eastAsia="Times New Roman" w:cstheme="minorHAnsi"/>
          <w:b/>
          <w:lang w:eastAsia="de-DE"/>
        </w:rPr>
      </w:pPr>
      <w:r w:rsidRPr="00A61C18">
        <w:rPr>
          <w:rFonts w:eastAsia="Times New Roman" w:cstheme="minorHAnsi"/>
          <w:b/>
          <w:lang w:eastAsia="de-DE"/>
        </w:rPr>
        <w:t>Articolul 7</w:t>
      </w:r>
      <w:r w:rsidRPr="00A61C18">
        <w:rPr>
          <w:rFonts w:eastAsia="Times New Roman" w:cstheme="minorHAnsi"/>
          <w:lang w:eastAsia="de-DE"/>
        </w:rPr>
        <w:t xml:space="preserve"> </w:t>
      </w:r>
      <w:r w:rsidRPr="00A61C18">
        <w:rPr>
          <w:rFonts w:eastAsia="Times New Roman" w:cstheme="minorHAnsi"/>
          <w:b/>
          <w:lang w:eastAsia="de-DE"/>
        </w:rPr>
        <w:t>- Completarea Condițiilor generale cu dreptul de proprietate/utilizare a rezultatelor și echipamentelor:</w:t>
      </w:r>
    </w:p>
    <w:p w14:paraId="3E5B9904" w14:textId="77777777" w:rsidR="002D37D7" w:rsidRDefault="002D37D7" w:rsidP="002D37D7">
      <w:pPr>
        <w:numPr>
          <w:ilvl w:val="0"/>
          <w:numId w:val="3"/>
        </w:numPr>
        <w:spacing w:after="200" w:line="240" w:lineRule="auto"/>
        <w:contextualSpacing/>
        <w:jc w:val="both"/>
        <w:rPr>
          <w:rFonts w:eastAsia="Times New Roman" w:cstheme="minorHAnsi"/>
        </w:rPr>
      </w:pPr>
      <w:r w:rsidRPr="00A61C18">
        <w:rPr>
          <w:rFonts w:eastAsia="Times New Roman" w:cstheme="minorHAnsi"/>
        </w:rPr>
        <w:t>Orice rezultate sau drepturi legate de acestea, inclusiv drepturi de autor şi/sau orice alte drepturi de proprietate intelectuală şi/sau industrială, obţinute în executarea sau ca urmare a executării acestei Decizii de finanțare, cu excepţia cazurilor în care astfel de drepturi sunt preexistente acestuia, vor fi proprietatea Beneficiarului.</w:t>
      </w:r>
    </w:p>
    <w:p w14:paraId="5DE253E7" w14:textId="77777777" w:rsidR="008A2E12" w:rsidRPr="00A61C18" w:rsidRDefault="008A2E12" w:rsidP="008A2E12">
      <w:pPr>
        <w:spacing w:after="200" w:line="240" w:lineRule="auto"/>
        <w:ind w:left="360"/>
        <w:contextualSpacing/>
        <w:jc w:val="both"/>
        <w:rPr>
          <w:rFonts w:eastAsia="Times New Roman" w:cstheme="minorHAnsi"/>
        </w:rPr>
      </w:pPr>
    </w:p>
    <w:p w14:paraId="5B0A1182" w14:textId="524DEC0F" w:rsidR="002D37D7" w:rsidRPr="00A61C18" w:rsidRDefault="002D37D7" w:rsidP="002D37D7">
      <w:pPr>
        <w:spacing w:after="0" w:line="240" w:lineRule="auto"/>
        <w:jc w:val="both"/>
        <w:rPr>
          <w:rFonts w:eastAsia="Times New Roman" w:cstheme="minorHAnsi"/>
          <w:b/>
          <w:lang w:eastAsia="de-DE"/>
        </w:rPr>
      </w:pPr>
      <w:r w:rsidRPr="00A61C18">
        <w:rPr>
          <w:rFonts w:eastAsia="Times New Roman" w:cstheme="minorHAnsi"/>
          <w:b/>
          <w:lang w:eastAsia="de-DE"/>
        </w:rPr>
        <w:t xml:space="preserve">Articolul 8 - Completarea Condițiilor generale cu privire la modificarea </w:t>
      </w:r>
      <w:r w:rsidR="007D353D">
        <w:rPr>
          <w:rFonts w:eastAsia="Times New Roman" w:cstheme="minorHAnsi"/>
          <w:b/>
          <w:lang w:eastAsia="de-DE"/>
        </w:rPr>
        <w:t>D</w:t>
      </w:r>
      <w:r w:rsidRPr="00A61C18">
        <w:rPr>
          <w:rFonts w:eastAsia="Times New Roman" w:cstheme="minorHAnsi"/>
          <w:b/>
          <w:lang w:eastAsia="de-DE"/>
        </w:rPr>
        <w:t>eciziei de finanțare:</w:t>
      </w:r>
    </w:p>
    <w:p w14:paraId="2C4E8703" w14:textId="04D133ED" w:rsidR="002D37D7" w:rsidRPr="00A61C18" w:rsidRDefault="00927CB8" w:rsidP="002D37D7">
      <w:pPr>
        <w:numPr>
          <w:ilvl w:val="0"/>
          <w:numId w:val="8"/>
        </w:numPr>
        <w:spacing w:after="0" w:line="240" w:lineRule="auto"/>
        <w:jc w:val="both"/>
        <w:rPr>
          <w:rFonts w:eastAsia="Times New Roman" w:cstheme="minorHAnsi"/>
          <w:shd w:val="clear" w:color="auto" w:fill="FFFFFF"/>
          <w:lang w:eastAsia="de-DE"/>
        </w:rPr>
      </w:pPr>
      <w:r w:rsidRPr="00A61C18">
        <w:rPr>
          <w:rFonts w:eastAsia="Times New Roman" w:cstheme="minorHAnsi"/>
          <w:lang w:eastAsia="de-DE"/>
        </w:rPr>
        <w:t>Decizia de finanțare poate fi modificată exclusiv pe durata perioadei de implementare a proiectului.</w:t>
      </w:r>
    </w:p>
    <w:p w14:paraId="24C734A6" w14:textId="77777777" w:rsidR="008B6467" w:rsidRPr="00974649" w:rsidRDefault="008B6467" w:rsidP="00974649">
      <w:pPr>
        <w:spacing w:after="0" w:line="240" w:lineRule="auto"/>
        <w:ind w:left="426"/>
        <w:jc w:val="both"/>
        <w:rPr>
          <w:rFonts w:eastAsia="Times New Roman" w:cstheme="minorHAnsi"/>
          <w:shd w:val="clear" w:color="auto" w:fill="FFFFFF"/>
          <w:lang w:eastAsia="de-DE"/>
        </w:rPr>
      </w:pPr>
    </w:p>
    <w:p w14:paraId="372B9D47" w14:textId="601325D6" w:rsidR="00A40EA3" w:rsidRPr="001E1CFB" w:rsidRDefault="002D37D7" w:rsidP="003F2B5E">
      <w:pPr>
        <w:numPr>
          <w:ilvl w:val="0"/>
          <w:numId w:val="8"/>
        </w:numPr>
        <w:spacing w:after="0" w:line="240" w:lineRule="auto"/>
        <w:ind w:left="426" w:hanging="426"/>
        <w:jc w:val="both"/>
        <w:rPr>
          <w:rFonts w:eastAsia="Times New Roman" w:cstheme="minorHAnsi"/>
          <w:shd w:val="clear" w:color="auto" w:fill="FFFFFF"/>
          <w:lang w:eastAsia="de-DE"/>
        </w:rPr>
      </w:pPr>
      <w:r w:rsidRPr="00A61C18">
        <w:rPr>
          <w:rFonts w:eastAsia="Times New Roman" w:cstheme="minorHAnsi"/>
          <w:lang w:eastAsia="de-DE"/>
        </w:rPr>
        <w:t xml:space="preserve">În cazul în care, pe perioada de implementare a Proiectului, se înregistrează economii constând în diferențe între valoarea estimată a </w:t>
      </w:r>
      <w:r w:rsidR="00617F02" w:rsidRPr="00A61C18">
        <w:rPr>
          <w:rFonts w:eastAsia="Times New Roman" w:cstheme="minorHAnsi"/>
          <w:lang w:eastAsia="de-DE"/>
        </w:rPr>
        <w:t>bunurilor/serviciilor</w:t>
      </w:r>
      <w:r w:rsidRPr="00A61C18">
        <w:rPr>
          <w:rFonts w:eastAsia="Times New Roman" w:cstheme="minorHAnsi"/>
          <w:lang w:eastAsia="de-DE"/>
        </w:rPr>
        <w:t xml:space="preserve"> și valoarea atribuită, acestea se pot utiliza în scopul implementării Proiectului, cu acordul prealabil al AM, și fără a afecta obiectivul Proiectului, cu respectarea Condițiilor generale și specifice</w:t>
      </w:r>
      <w:r w:rsidR="003F2B5E">
        <w:rPr>
          <w:rFonts w:eastAsia="Times New Roman" w:cstheme="minorHAnsi"/>
          <w:lang w:eastAsia="de-DE"/>
        </w:rPr>
        <w:t>.</w:t>
      </w:r>
    </w:p>
    <w:p w14:paraId="7AE98B4D" w14:textId="07B63EF9" w:rsidR="001E1CFB" w:rsidRPr="00A61C18" w:rsidRDefault="001E1CFB" w:rsidP="00640E62">
      <w:pPr>
        <w:spacing w:after="0" w:line="240" w:lineRule="auto"/>
        <w:ind w:left="-90"/>
        <w:jc w:val="both"/>
        <w:rPr>
          <w:rFonts w:eastAsia="Times New Roman" w:cstheme="minorHAnsi"/>
          <w:shd w:val="clear" w:color="auto" w:fill="FFFFFF"/>
          <w:lang w:eastAsia="de-DE"/>
        </w:rPr>
      </w:pPr>
    </w:p>
    <w:p w14:paraId="72D43A86" w14:textId="6AB0512F" w:rsidR="00B32A0F" w:rsidRPr="00C13780" w:rsidRDefault="000D42A4" w:rsidP="00C13780">
      <w:pPr>
        <w:numPr>
          <w:ilvl w:val="0"/>
          <w:numId w:val="8"/>
        </w:numPr>
        <w:spacing w:after="0" w:line="240" w:lineRule="auto"/>
        <w:jc w:val="both"/>
        <w:rPr>
          <w:rFonts w:eastAsia="Times New Roman" w:cstheme="minorHAnsi"/>
          <w:shd w:val="clear" w:color="auto" w:fill="FFFFFF"/>
          <w:lang w:eastAsia="de-DE"/>
        </w:rPr>
      </w:pPr>
      <w:r w:rsidRPr="00A61C18">
        <w:rPr>
          <w:rFonts w:eastAsia="Times New Roman" w:cstheme="minorHAnsi"/>
          <w:lang w:eastAsia="de-DE"/>
        </w:rPr>
        <w:lastRenderedPageBreak/>
        <w:t>Prin excepție de la prevederile art. 10, alin</w:t>
      </w:r>
      <w:r w:rsidR="007D353D">
        <w:rPr>
          <w:rFonts w:eastAsia="Times New Roman" w:cstheme="minorHAnsi"/>
          <w:lang w:eastAsia="de-DE"/>
        </w:rPr>
        <w:t>.</w:t>
      </w:r>
      <w:r w:rsidRPr="00A61C18">
        <w:rPr>
          <w:rFonts w:eastAsia="Times New Roman" w:cstheme="minorHAnsi"/>
          <w:lang w:eastAsia="de-DE"/>
        </w:rPr>
        <w:t xml:space="preserve"> 1 din </w:t>
      </w:r>
      <w:r w:rsidR="007D353D">
        <w:rPr>
          <w:rFonts w:eastAsia="Times New Roman" w:cstheme="minorHAnsi"/>
          <w:lang w:eastAsia="de-DE"/>
        </w:rPr>
        <w:t>C</w:t>
      </w:r>
      <w:r w:rsidRPr="00A61C18">
        <w:rPr>
          <w:rFonts w:eastAsia="Times New Roman" w:cstheme="minorHAnsi"/>
          <w:lang w:eastAsia="de-DE"/>
        </w:rPr>
        <w:t xml:space="preserve">ondițiile generale, </w:t>
      </w:r>
      <w:r w:rsidR="007D353D">
        <w:rPr>
          <w:rFonts w:eastAsia="Times New Roman" w:cstheme="minorHAnsi"/>
          <w:lang w:eastAsia="de-DE"/>
        </w:rPr>
        <w:t>D</w:t>
      </w:r>
      <w:r w:rsidRPr="00A61C18">
        <w:rPr>
          <w:rFonts w:eastAsia="Times New Roman" w:cstheme="minorHAnsi"/>
          <w:lang w:eastAsia="de-DE"/>
        </w:rPr>
        <w:t>ecizia de finanțare poate fi modificată prin notificare aprobată de AM în</w:t>
      </w:r>
      <w:r w:rsidR="00C13780">
        <w:rPr>
          <w:rFonts w:eastAsia="Times New Roman" w:cstheme="minorHAnsi"/>
          <w:lang w:eastAsia="de-DE"/>
        </w:rPr>
        <w:t xml:space="preserve"> situația </w:t>
      </w:r>
      <w:r w:rsidR="008A2E12" w:rsidRPr="00C13780">
        <w:rPr>
          <w:rFonts w:cstheme="minorHAnsi"/>
          <w:lang w:eastAsia="de-DE"/>
        </w:rPr>
        <w:t>înlocuir</w:t>
      </w:r>
      <w:r w:rsidR="00C13780">
        <w:rPr>
          <w:rFonts w:cstheme="minorHAnsi"/>
          <w:lang w:eastAsia="de-DE"/>
        </w:rPr>
        <w:t>ii</w:t>
      </w:r>
      <w:r w:rsidR="008251CE" w:rsidRPr="00C13780">
        <w:rPr>
          <w:rFonts w:cstheme="minorHAnsi"/>
          <w:lang w:eastAsia="de-DE"/>
        </w:rPr>
        <w:t xml:space="preserve"> sau introducer</w:t>
      </w:r>
      <w:r w:rsidR="00C13780">
        <w:rPr>
          <w:rFonts w:cstheme="minorHAnsi"/>
          <w:lang w:eastAsia="de-DE"/>
        </w:rPr>
        <w:t>ii</w:t>
      </w:r>
      <w:r w:rsidRPr="00C13780">
        <w:rPr>
          <w:rFonts w:cstheme="minorHAnsi"/>
          <w:lang w:eastAsia="de-DE"/>
        </w:rPr>
        <w:t xml:space="preserve"> de membri noi în person</w:t>
      </w:r>
      <w:r w:rsidR="002C5EC8" w:rsidRPr="00C13780">
        <w:rPr>
          <w:rFonts w:cstheme="minorHAnsi"/>
          <w:lang w:eastAsia="de-DE"/>
        </w:rPr>
        <w:t>alul angajat</w:t>
      </w:r>
      <w:r w:rsidR="00C66876">
        <w:rPr>
          <w:rFonts w:cstheme="minorHAnsi"/>
          <w:lang w:eastAsia="de-DE"/>
        </w:rPr>
        <w:t xml:space="preserve"> </w:t>
      </w:r>
      <w:r w:rsidR="002C5EC8" w:rsidRPr="00C13780">
        <w:rPr>
          <w:rFonts w:cstheme="minorHAnsi"/>
          <w:lang w:eastAsia="de-DE"/>
        </w:rPr>
        <w:t xml:space="preserve">al beneficiarului, modificarea </w:t>
      </w:r>
      <w:r w:rsidRPr="00C13780">
        <w:rPr>
          <w:rFonts w:cstheme="minorHAnsi"/>
          <w:lang w:eastAsia="de-DE"/>
        </w:rPr>
        <w:t>numelor/normelor de lucru/funcțiilor/a procentelor</w:t>
      </w:r>
      <w:r w:rsidR="00CA4BA8" w:rsidRPr="00C13780">
        <w:rPr>
          <w:rFonts w:cstheme="minorHAnsi"/>
          <w:lang w:eastAsia="de-DE"/>
        </w:rPr>
        <w:t xml:space="preserve"> de implicare </w:t>
      </w:r>
      <w:r w:rsidR="00E15C70">
        <w:rPr>
          <w:rFonts w:cstheme="minorHAnsi"/>
          <w:lang w:eastAsia="de-DE"/>
        </w:rPr>
        <w:t>î</w:t>
      </w:r>
      <w:r w:rsidR="00CA4BA8" w:rsidRPr="00C13780">
        <w:rPr>
          <w:rFonts w:cstheme="minorHAnsi"/>
          <w:lang w:eastAsia="de-DE"/>
        </w:rPr>
        <w:t xml:space="preserve">n </w:t>
      </w:r>
      <w:r w:rsidR="00CA4BA8" w:rsidRPr="008B3DFA">
        <w:rPr>
          <w:rFonts w:cstheme="minorHAnsi"/>
          <w:lang w:eastAsia="de-DE"/>
        </w:rPr>
        <w:t>activit</w:t>
      </w:r>
      <w:r w:rsidR="00E15C70">
        <w:rPr>
          <w:rFonts w:cstheme="minorHAnsi"/>
          <w:lang w:eastAsia="de-DE"/>
        </w:rPr>
        <w:t>ăț</w:t>
      </w:r>
      <w:r w:rsidR="00CA4BA8" w:rsidRPr="008B3DFA">
        <w:rPr>
          <w:rFonts w:cstheme="minorHAnsi"/>
          <w:lang w:eastAsia="de-DE"/>
        </w:rPr>
        <w:t>i</w:t>
      </w:r>
      <w:r w:rsidRPr="00AA346C">
        <w:rPr>
          <w:rFonts w:cstheme="minorHAnsi"/>
          <w:lang w:eastAsia="de-DE"/>
        </w:rPr>
        <w:t xml:space="preserve"> privind </w:t>
      </w:r>
      <w:r w:rsidR="00CA4BA8" w:rsidRPr="00974649">
        <w:rPr>
          <w:rFonts w:cstheme="minorHAnsi"/>
          <w:lang w:eastAsia="de-DE"/>
        </w:rPr>
        <w:t>implementarea</w:t>
      </w:r>
      <w:r w:rsidR="00CA4BA8" w:rsidRPr="008B3DFA">
        <w:rPr>
          <w:rFonts w:cstheme="minorHAnsi"/>
          <w:lang w:eastAsia="de-DE"/>
        </w:rPr>
        <w:t xml:space="preserve"> </w:t>
      </w:r>
      <w:r w:rsidRPr="008B3DFA">
        <w:rPr>
          <w:rFonts w:cstheme="minorHAnsi"/>
          <w:lang w:eastAsia="de-DE"/>
        </w:rPr>
        <w:t xml:space="preserve">PR </w:t>
      </w:r>
      <w:r w:rsidR="002C5EC8" w:rsidRPr="00AA346C">
        <w:rPr>
          <w:rFonts w:cstheme="minorHAnsi"/>
          <w:lang w:eastAsia="de-DE"/>
        </w:rPr>
        <w:t>SE</w:t>
      </w:r>
      <w:r w:rsidR="002C5EC8" w:rsidRPr="00C13780">
        <w:rPr>
          <w:rFonts w:cstheme="minorHAnsi"/>
          <w:lang w:eastAsia="de-DE"/>
        </w:rPr>
        <w:t xml:space="preserve"> 2021-2027 din </w:t>
      </w:r>
      <w:proofErr w:type="spellStart"/>
      <w:r w:rsidR="002C5EC8" w:rsidRPr="00C13780">
        <w:rPr>
          <w:rFonts w:cstheme="minorHAnsi"/>
          <w:lang w:eastAsia="de-DE"/>
        </w:rPr>
        <w:t>fișele</w:t>
      </w:r>
      <w:proofErr w:type="spellEnd"/>
      <w:r w:rsidR="002C5EC8" w:rsidRPr="00C13780">
        <w:rPr>
          <w:rFonts w:cstheme="minorHAnsi"/>
          <w:lang w:eastAsia="de-DE"/>
        </w:rPr>
        <w:t xml:space="preserve"> de post, </w:t>
      </w:r>
      <w:proofErr w:type="spellStart"/>
      <w:r w:rsidRPr="00C13780">
        <w:rPr>
          <w:rFonts w:cstheme="minorHAnsi"/>
          <w:lang w:eastAsia="de-DE"/>
        </w:rPr>
        <w:t>încetarea</w:t>
      </w:r>
      <w:proofErr w:type="spellEnd"/>
      <w:r w:rsidRPr="00C13780">
        <w:rPr>
          <w:rFonts w:cstheme="minorHAnsi"/>
          <w:lang w:eastAsia="de-DE"/>
        </w:rPr>
        <w:t xml:space="preserve"> </w:t>
      </w:r>
      <w:proofErr w:type="spellStart"/>
      <w:r w:rsidRPr="00C13780">
        <w:rPr>
          <w:rFonts w:cstheme="minorHAnsi"/>
          <w:lang w:eastAsia="de-DE"/>
        </w:rPr>
        <w:t>implicării</w:t>
      </w:r>
      <w:proofErr w:type="spellEnd"/>
      <w:r w:rsidRPr="00C13780">
        <w:rPr>
          <w:rFonts w:cstheme="minorHAnsi"/>
          <w:lang w:eastAsia="de-DE"/>
        </w:rPr>
        <w:t xml:space="preserve"> </w:t>
      </w:r>
      <w:proofErr w:type="spellStart"/>
      <w:r w:rsidRPr="00C13780">
        <w:rPr>
          <w:rFonts w:cstheme="minorHAnsi"/>
          <w:lang w:eastAsia="de-DE"/>
        </w:rPr>
        <w:t>în</w:t>
      </w:r>
      <w:proofErr w:type="spellEnd"/>
      <w:r w:rsidRPr="00C13780">
        <w:rPr>
          <w:rFonts w:cstheme="minorHAnsi"/>
          <w:lang w:eastAsia="de-DE"/>
        </w:rPr>
        <w:t xml:space="preserve"> </w:t>
      </w:r>
      <w:proofErr w:type="spellStart"/>
      <w:r w:rsidRPr="00C13780">
        <w:rPr>
          <w:rFonts w:cstheme="minorHAnsi"/>
          <w:lang w:eastAsia="de-DE"/>
        </w:rPr>
        <w:t>proiect</w:t>
      </w:r>
      <w:proofErr w:type="spellEnd"/>
      <w:r w:rsidRPr="00C13780">
        <w:rPr>
          <w:rFonts w:cstheme="minorHAnsi"/>
          <w:lang w:eastAsia="de-DE"/>
        </w:rPr>
        <w:t xml:space="preserve"> a </w:t>
      </w:r>
      <w:proofErr w:type="spellStart"/>
      <w:r w:rsidRPr="00C13780">
        <w:rPr>
          <w:rFonts w:cstheme="minorHAnsi"/>
          <w:lang w:eastAsia="de-DE"/>
        </w:rPr>
        <w:t>anumitor</w:t>
      </w:r>
      <w:proofErr w:type="spellEnd"/>
      <w:r w:rsidRPr="00C13780">
        <w:rPr>
          <w:rFonts w:cstheme="minorHAnsi"/>
          <w:lang w:eastAsia="de-DE"/>
        </w:rPr>
        <w:t xml:space="preserve"> </w:t>
      </w:r>
      <w:proofErr w:type="spellStart"/>
      <w:r w:rsidRPr="00C13780">
        <w:rPr>
          <w:rFonts w:cstheme="minorHAnsi"/>
          <w:lang w:eastAsia="de-DE"/>
        </w:rPr>
        <w:t>persoane</w:t>
      </w:r>
      <w:proofErr w:type="spellEnd"/>
      <w:r w:rsidRPr="00C13780">
        <w:rPr>
          <w:rFonts w:cstheme="minorHAnsi"/>
          <w:lang w:eastAsia="de-DE"/>
        </w:rPr>
        <w:t>/</w:t>
      </w:r>
      <w:proofErr w:type="spellStart"/>
      <w:r w:rsidRPr="00C13780">
        <w:rPr>
          <w:rFonts w:cstheme="minorHAnsi"/>
          <w:lang w:eastAsia="de-DE"/>
        </w:rPr>
        <w:t>alte</w:t>
      </w:r>
      <w:proofErr w:type="spellEnd"/>
      <w:r w:rsidRPr="00C13780">
        <w:rPr>
          <w:rFonts w:cstheme="minorHAnsi"/>
          <w:lang w:eastAsia="de-DE"/>
        </w:rPr>
        <w:t xml:space="preserve"> </w:t>
      </w:r>
      <w:proofErr w:type="spellStart"/>
      <w:r w:rsidRPr="00C13780">
        <w:rPr>
          <w:rFonts w:cstheme="minorHAnsi"/>
          <w:lang w:eastAsia="de-DE"/>
        </w:rPr>
        <w:t>modificări</w:t>
      </w:r>
      <w:proofErr w:type="spellEnd"/>
      <w:r w:rsidRPr="00C13780">
        <w:rPr>
          <w:rFonts w:cstheme="minorHAnsi"/>
          <w:lang w:eastAsia="de-DE"/>
        </w:rPr>
        <w:t xml:space="preserve"> de personal. </w:t>
      </w:r>
      <w:proofErr w:type="spellStart"/>
      <w:r w:rsidRPr="00C13780">
        <w:rPr>
          <w:rFonts w:cstheme="minorHAnsi"/>
          <w:lang w:eastAsia="de-DE"/>
        </w:rPr>
        <w:t>În</w:t>
      </w:r>
      <w:proofErr w:type="spellEnd"/>
      <w:r w:rsidRPr="00C13780">
        <w:rPr>
          <w:rFonts w:cstheme="minorHAnsi"/>
          <w:lang w:eastAsia="de-DE"/>
        </w:rPr>
        <w:t xml:space="preserve"> </w:t>
      </w:r>
      <w:proofErr w:type="spellStart"/>
      <w:r w:rsidRPr="00C13780">
        <w:rPr>
          <w:rFonts w:cstheme="minorHAnsi"/>
          <w:lang w:eastAsia="de-DE"/>
        </w:rPr>
        <w:t>acest</w:t>
      </w:r>
      <w:proofErr w:type="spellEnd"/>
      <w:r w:rsidRPr="00C13780">
        <w:rPr>
          <w:rFonts w:cstheme="minorHAnsi"/>
          <w:lang w:eastAsia="de-DE"/>
        </w:rPr>
        <w:t xml:space="preserve"> </w:t>
      </w:r>
      <w:proofErr w:type="spellStart"/>
      <w:r w:rsidRPr="00C13780">
        <w:rPr>
          <w:rFonts w:cstheme="minorHAnsi"/>
          <w:lang w:eastAsia="de-DE"/>
        </w:rPr>
        <w:t>caz</w:t>
      </w:r>
      <w:proofErr w:type="spellEnd"/>
      <w:r w:rsidRPr="00C13780">
        <w:rPr>
          <w:rFonts w:cstheme="minorHAnsi"/>
          <w:lang w:eastAsia="de-DE"/>
        </w:rPr>
        <w:t xml:space="preserve">, </w:t>
      </w:r>
      <w:proofErr w:type="spellStart"/>
      <w:r w:rsidRPr="00C13780">
        <w:rPr>
          <w:rFonts w:cstheme="minorHAnsi"/>
          <w:lang w:eastAsia="de-DE"/>
        </w:rPr>
        <w:t>notificarea</w:t>
      </w:r>
      <w:proofErr w:type="spellEnd"/>
      <w:r w:rsidRPr="00C13780">
        <w:rPr>
          <w:rFonts w:cstheme="minorHAnsi"/>
          <w:lang w:eastAsia="de-DE"/>
        </w:rPr>
        <w:t xml:space="preserve"> </w:t>
      </w:r>
      <w:proofErr w:type="spellStart"/>
      <w:r w:rsidRPr="00C13780">
        <w:rPr>
          <w:rFonts w:cstheme="minorHAnsi"/>
          <w:lang w:eastAsia="de-DE"/>
        </w:rPr>
        <w:t>va</w:t>
      </w:r>
      <w:proofErr w:type="spellEnd"/>
      <w:r w:rsidRPr="00C13780">
        <w:rPr>
          <w:rFonts w:cstheme="minorHAnsi"/>
          <w:lang w:eastAsia="de-DE"/>
        </w:rPr>
        <w:t xml:space="preserve"> produce </w:t>
      </w:r>
      <w:proofErr w:type="spellStart"/>
      <w:r w:rsidRPr="00C13780">
        <w:rPr>
          <w:rFonts w:cstheme="minorHAnsi"/>
          <w:lang w:eastAsia="de-DE"/>
        </w:rPr>
        <w:t>efecte</w:t>
      </w:r>
      <w:proofErr w:type="spellEnd"/>
      <w:r w:rsidRPr="00C13780">
        <w:rPr>
          <w:rFonts w:cstheme="minorHAnsi"/>
          <w:lang w:eastAsia="de-DE"/>
        </w:rPr>
        <w:t xml:space="preserve"> de la data </w:t>
      </w:r>
      <w:proofErr w:type="spellStart"/>
      <w:r w:rsidRPr="00C13780">
        <w:rPr>
          <w:rFonts w:cstheme="minorHAnsi"/>
          <w:lang w:eastAsia="de-DE"/>
        </w:rPr>
        <w:t>intrării</w:t>
      </w:r>
      <w:proofErr w:type="spellEnd"/>
      <w:r w:rsidRPr="00C13780">
        <w:rPr>
          <w:rFonts w:cstheme="minorHAnsi"/>
          <w:lang w:eastAsia="de-DE"/>
        </w:rPr>
        <w:t xml:space="preserve"> </w:t>
      </w:r>
      <w:proofErr w:type="spellStart"/>
      <w:r w:rsidRPr="00C13780">
        <w:rPr>
          <w:rFonts w:cstheme="minorHAnsi"/>
          <w:lang w:eastAsia="de-DE"/>
        </w:rPr>
        <w:t>în</w:t>
      </w:r>
      <w:proofErr w:type="spellEnd"/>
      <w:r w:rsidRPr="00C13780">
        <w:rPr>
          <w:rFonts w:cstheme="minorHAnsi"/>
          <w:lang w:eastAsia="de-DE"/>
        </w:rPr>
        <w:t xml:space="preserve"> </w:t>
      </w:r>
      <w:proofErr w:type="spellStart"/>
      <w:r w:rsidRPr="00C13780">
        <w:rPr>
          <w:rFonts w:cstheme="minorHAnsi"/>
          <w:lang w:eastAsia="de-DE"/>
        </w:rPr>
        <w:t>vigoare</w:t>
      </w:r>
      <w:proofErr w:type="spellEnd"/>
      <w:r w:rsidRPr="00C13780">
        <w:rPr>
          <w:rFonts w:cstheme="minorHAnsi"/>
          <w:lang w:eastAsia="de-DE"/>
        </w:rPr>
        <w:t xml:space="preserve"> a </w:t>
      </w:r>
      <w:proofErr w:type="spellStart"/>
      <w:r w:rsidRPr="00C13780">
        <w:rPr>
          <w:rFonts w:cstheme="minorHAnsi"/>
          <w:lang w:eastAsia="de-DE"/>
        </w:rPr>
        <w:t>modificărilor</w:t>
      </w:r>
      <w:proofErr w:type="spellEnd"/>
      <w:r w:rsidRPr="00C13780">
        <w:rPr>
          <w:rFonts w:cstheme="minorHAnsi"/>
          <w:lang w:eastAsia="de-DE"/>
        </w:rPr>
        <w:t xml:space="preserve"> de personal respective</w:t>
      </w:r>
      <w:r w:rsidR="008251CE" w:rsidRPr="00C13780">
        <w:rPr>
          <w:rFonts w:cstheme="minorHAnsi"/>
          <w:lang w:eastAsia="de-DE"/>
        </w:rPr>
        <w:t>;</w:t>
      </w:r>
    </w:p>
    <w:p w14:paraId="2BA3EBE1" w14:textId="177A9688" w:rsidR="007A0BCD" w:rsidRPr="00974649" w:rsidRDefault="007A0BCD" w:rsidP="007A0BCD">
      <w:pPr>
        <w:pStyle w:val="BodyText3"/>
        <w:keepNext w:val="0"/>
        <w:numPr>
          <w:ilvl w:val="0"/>
          <w:numId w:val="8"/>
        </w:numPr>
        <w:ind w:left="426" w:hanging="426"/>
        <w:outlineLvl w:val="9"/>
        <w:rPr>
          <w:rFonts w:asciiTheme="minorHAnsi" w:hAnsiTheme="minorHAnsi" w:cstheme="minorHAnsi"/>
          <w:sz w:val="22"/>
          <w:szCs w:val="22"/>
        </w:rPr>
      </w:pPr>
      <w:r w:rsidRPr="00974649">
        <w:rPr>
          <w:rFonts w:asciiTheme="minorHAnsi" w:hAnsiTheme="minorHAnsi" w:cstheme="minorHAnsi"/>
          <w:sz w:val="22"/>
          <w:szCs w:val="22"/>
        </w:rPr>
        <w:t xml:space="preserve">În completarea prevederilor art. 10, </w:t>
      </w:r>
      <w:r w:rsidRPr="008B3DFA">
        <w:rPr>
          <w:rFonts w:asciiTheme="minorHAnsi" w:hAnsiTheme="minorHAnsi" w:cstheme="minorHAnsi"/>
          <w:sz w:val="22"/>
          <w:szCs w:val="22"/>
        </w:rPr>
        <w:t>din Condițiile generale</w:t>
      </w:r>
      <w:r w:rsidRPr="00974649">
        <w:rPr>
          <w:rFonts w:asciiTheme="minorHAnsi" w:hAnsiTheme="minorHAnsi" w:cstheme="minorHAnsi"/>
          <w:sz w:val="22"/>
          <w:szCs w:val="22"/>
        </w:rPr>
        <w:t xml:space="preserve">, Beneficiarul poate efectua cheltuieli în condiţiile modificate prin notificare, dar le poate solicita la rambursare numai după aprobarea notificării de către AM. În cazul în care propunerea de modificare trimisă de beneficiar nu este aprobată de AM, respectivele cheltuieli efectuate de beneficiar nu vor fi considerate eligibile de către AM. </w:t>
      </w:r>
    </w:p>
    <w:p w14:paraId="10552C35" w14:textId="539360A5" w:rsidR="004934CD" w:rsidRPr="00AA346C" w:rsidRDefault="004934CD" w:rsidP="004934CD">
      <w:pPr>
        <w:pStyle w:val="BodyText3"/>
        <w:keepNext w:val="0"/>
        <w:numPr>
          <w:ilvl w:val="0"/>
          <w:numId w:val="8"/>
        </w:numPr>
        <w:ind w:left="426" w:hanging="426"/>
        <w:outlineLvl w:val="9"/>
        <w:rPr>
          <w:rFonts w:asciiTheme="minorHAnsi" w:hAnsiTheme="minorHAnsi" w:cstheme="minorHAnsi"/>
          <w:sz w:val="22"/>
          <w:szCs w:val="22"/>
        </w:rPr>
      </w:pPr>
      <w:r w:rsidRPr="008C6B77">
        <w:rPr>
          <w:rFonts w:asciiTheme="minorHAnsi" w:hAnsiTheme="minorHAnsi" w:cstheme="minorHAnsi"/>
          <w:sz w:val="22"/>
          <w:szCs w:val="22"/>
        </w:rPr>
        <w:t xml:space="preserve">Modificările aduse prezentei Decizii de finanțare intră în vigoare la </w:t>
      </w:r>
      <w:r w:rsidRPr="008B3DFA">
        <w:rPr>
          <w:rFonts w:asciiTheme="minorHAnsi" w:hAnsiTheme="minorHAnsi" w:cstheme="minorHAnsi"/>
          <w:sz w:val="22"/>
          <w:szCs w:val="22"/>
        </w:rPr>
        <w:t>data semnării de către ambele părţi a Actului adiţional de modificare prin acordul</w:t>
      </w:r>
      <w:r w:rsidRPr="00CA6FAC">
        <w:rPr>
          <w:rFonts w:asciiTheme="minorHAnsi" w:hAnsiTheme="minorHAnsi" w:cstheme="minorHAnsi"/>
          <w:sz w:val="22"/>
          <w:szCs w:val="22"/>
        </w:rPr>
        <w:t xml:space="preserve"> de voinţă al părţilor, </w:t>
      </w:r>
      <w:r w:rsidRPr="00974649">
        <w:rPr>
          <w:rFonts w:asciiTheme="minorHAnsi" w:hAnsiTheme="minorHAnsi" w:cstheme="minorHAnsi"/>
          <w:sz w:val="22"/>
          <w:szCs w:val="22"/>
        </w:rPr>
        <w:t>cu excepţia cazurilor în care, prin actul adiţional, sau prin notificare, dupa caz, se confirmă modificări intervenite în legislaţia naţională şi/sau europeană relevantă, cu impact asupra executării prezentului Contract, situaţii în care modificarea respectivă intră în vigoare de la data menţionată în actul normativ corespunzător</w:t>
      </w:r>
      <w:r w:rsidR="008B3DFA" w:rsidRPr="008B3DFA">
        <w:rPr>
          <w:rFonts w:asciiTheme="minorHAnsi" w:hAnsiTheme="minorHAnsi" w:cstheme="minorHAnsi"/>
          <w:sz w:val="22"/>
          <w:szCs w:val="22"/>
        </w:rPr>
        <w:t>.</w:t>
      </w:r>
      <w:r w:rsidRPr="00CA6FAC">
        <w:rPr>
          <w:rFonts w:asciiTheme="minorHAnsi" w:hAnsiTheme="minorHAnsi" w:cstheme="minorHAnsi"/>
          <w:sz w:val="22"/>
          <w:szCs w:val="22"/>
        </w:rPr>
        <w:t xml:space="preserve"> </w:t>
      </w:r>
    </w:p>
    <w:p w14:paraId="3DBC065C" w14:textId="77777777" w:rsidR="00962AFA" w:rsidRPr="008A2E12" w:rsidRDefault="00962AFA" w:rsidP="008A2E12">
      <w:pPr>
        <w:pStyle w:val="BodyText3"/>
        <w:keepNext w:val="0"/>
        <w:ind w:left="1391"/>
        <w:outlineLvl w:val="9"/>
        <w:rPr>
          <w:rFonts w:asciiTheme="minorHAnsi" w:hAnsiTheme="minorHAnsi" w:cstheme="minorHAnsi"/>
          <w:sz w:val="22"/>
          <w:szCs w:val="22"/>
        </w:rPr>
      </w:pPr>
    </w:p>
    <w:p w14:paraId="6302BB50" w14:textId="5EB07D89" w:rsidR="002D37D7" w:rsidRPr="00C66876" w:rsidRDefault="002D37D7" w:rsidP="002D37D7">
      <w:pPr>
        <w:spacing w:after="0" w:line="240" w:lineRule="auto"/>
        <w:jc w:val="both"/>
        <w:rPr>
          <w:rFonts w:eastAsia="Times New Roman" w:cstheme="minorHAnsi"/>
          <w:lang w:eastAsia="de-DE"/>
        </w:rPr>
      </w:pPr>
      <w:r w:rsidRPr="00C66876">
        <w:rPr>
          <w:rFonts w:eastAsia="Times New Roman" w:cstheme="minorHAnsi"/>
          <w:b/>
          <w:lang w:eastAsia="de-DE"/>
        </w:rPr>
        <w:t xml:space="preserve">Articolul 9 - </w:t>
      </w:r>
      <w:r w:rsidR="00A61C18" w:rsidRPr="00C66876">
        <w:rPr>
          <w:rFonts w:eastAsia="Times New Roman" w:cstheme="minorHAnsi"/>
          <w:b/>
          <w:lang w:eastAsia="de-DE"/>
        </w:rPr>
        <w:t xml:space="preserve">Completarea Condițiilor generale privind </w:t>
      </w:r>
      <w:r w:rsidRPr="00C66876">
        <w:rPr>
          <w:rFonts w:eastAsia="Times New Roman" w:cstheme="minorHAnsi"/>
          <w:b/>
          <w:lang w:eastAsia="de-DE"/>
        </w:rPr>
        <w:t>Informare</w:t>
      </w:r>
      <w:r w:rsidR="00A61C18" w:rsidRPr="00C66876">
        <w:rPr>
          <w:rFonts w:eastAsia="Times New Roman" w:cstheme="minorHAnsi"/>
          <w:b/>
          <w:lang w:eastAsia="de-DE"/>
        </w:rPr>
        <w:t>a</w:t>
      </w:r>
      <w:r w:rsidRPr="00C66876">
        <w:rPr>
          <w:rFonts w:eastAsia="Times New Roman" w:cstheme="minorHAnsi"/>
          <w:b/>
          <w:lang w:eastAsia="de-DE"/>
        </w:rPr>
        <w:t xml:space="preserve"> și publicitate</w:t>
      </w:r>
      <w:r w:rsidR="00A61C18" w:rsidRPr="00C66876">
        <w:rPr>
          <w:rFonts w:eastAsia="Times New Roman" w:cstheme="minorHAnsi"/>
          <w:b/>
          <w:lang w:eastAsia="de-DE"/>
        </w:rPr>
        <w:t>a</w:t>
      </w:r>
      <w:r w:rsidRPr="00C66876">
        <w:rPr>
          <w:rFonts w:eastAsia="Times New Roman" w:cstheme="minorHAnsi"/>
          <w:lang w:eastAsia="de-DE"/>
        </w:rPr>
        <w:t>:</w:t>
      </w:r>
    </w:p>
    <w:p w14:paraId="26BBB17F" w14:textId="54E14265" w:rsidR="00F83F8D" w:rsidRPr="00C66876" w:rsidRDefault="009E4603" w:rsidP="00F83F8D">
      <w:pPr>
        <w:numPr>
          <w:ilvl w:val="0"/>
          <w:numId w:val="7"/>
        </w:numPr>
        <w:spacing w:after="0" w:line="240" w:lineRule="auto"/>
        <w:ind w:left="360"/>
        <w:contextualSpacing/>
        <w:jc w:val="both"/>
        <w:rPr>
          <w:rFonts w:eastAsia="Times New Roman" w:cstheme="minorHAnsi"/>
        </w:rPr>
      </w:pPr>
      <w:r w:rsidRPr="00C66876">
        <w:rPr>
          <w:rFonts w:eastAsia="Times New Roman" w:cstheme="minorHAnsi"/>
        </w:rPr>
        <w:t xml:space="preserve">Beneficiarii sunt responsabili pentru implementarea activităţilor de informare şi comunicare în legătură cu asistenţa financiară nerambursabilă obţinută prin </w:t>
      </w:r>
      <w:r w:rsidRPr="00C66876">
        <w:rPr>
          <w:rFonts w:eastAsia="Times New Roman" w:cstheme="minorHAnsi"/>
        </w:rPr>
        <w:t>PR SE 2021-2027</w:t>
      </w:r>
      <w:r w:rsidRPr="00C66876">
        <w:rPr>
          <w:rFonts w:eastAsia="Times New Roman" w:cstheme="minorHAnsi"/>
        </w:rPr>
        <w:t>, în conformitate cu cele declarate în cererea de finanţare</w:t>
      </w:r>
      <w:r w:rsidRPr="00C66876">
        <w:rPr>
          <w:rFonts w:eastAsia="Times New Roman" w:cstheme="minorHAnsi"/>
        </w:rPr>
        <w:t xml:space="preserve">, cu respectarea cerințelor minime de informare </w:t>
      </w:r>
      <w:r w:rsidR="005C0C83" w:rsidRPr="00C66876">
        <w:rPr>
          <w:rFonts w:eastAsia="Times New Roman" w:cstheme="minorHAnsi"/>
        </w:rPr>
        <w:t>și publicitate, dupa cum urmează:</w:t>
      </w:r>
    </w:p>
    <w:tbl>
      <w:tblPr>
        <w:tblW w:w="5000" w:type="pct"/>
        <w:jc w:val="center"/>
        <w:tblCellMar>
          <w:left w:w="0" w:type="dxa"/>
          <w:right w:w="0" w:type="dxa"/>
        </w:tblCellMar>
        <w:tblLook w:val="04A0" w:firstRow="1" w:lastRow="0" w:firstColumn="1" w:lastColumn="0" w:noHBand="0" w:noVBand="1"/>
      </w:tblPr>
      <w:tblGrid>
        <w:gridCol w:w="599"/>
        <w:gridCol w:w="8449"/>
      </w:tblGrid>
      <w:tr w:rsidR="00C66876" w:rsidRPr="00F83F8D" w14:paraId="7AAC5F81" w14:textId="77777777" w:rsidTr="00C94D0E">
        <w:trPr>
          <w:jc w:val="center"/>
        </w:trPr>
        <w:tc>
          <w:tcPr>
            <w:tcW w:w="0" w:type="auto"/>
            <w:shd w:val="clear" w:color="auto" w:fill="auto"/>
            <w:hideMark/>
          </w:tcPr>
          <w:p w14:paraId="09951355" w14:textId="77777777" w:rsidR="00F83F8D" w:rsidRPr="00F83F8D" w:rsidRDefault="00F83F8D" w:rsidP="00F83F8D">
            <w:pPr>
              <w:spacing w:after="0" w:line="240" w:lineRule="auto"/>
              <w:ind w:left="360"/>
              <w:contextualSpacing/>
              <w:jc w:val="both"/>
              <w:rPr>
                <w:rFonts w:eastAsia="Times New Roman" w:cstheme="minorHAnsi"/>
              </w:rPr>
            </w:pPr>
            <w:r w:rsidRPr="00F83F8D">
              <w:rPr>
                <w:rFonts w:eastAsia="Times New Roman" w:cstheme="minorHAnsi"/>
              </w:rPr>
              <w:t>(a)</w:t>
            </w:r>
          </w:p>
        </w:tc>
        <w:tc>
          <w:tcPr>
            <w:tcW w:w="0" w:type="auto"/>
            <w:shd w:val="clear" w:color="auto" w:fill="auto"/>
            <w:hideMark/>
          </w:tcPr>
          <w:p w14:paraId="37134E37" w14:textId="77777777" w:rsidR="00F83F8D" w:rsidRPr="00F83F8D" w:rsidRDefault="00F83F8D" w:rsidP="00F83F8D">
            <w:pPr>
              <w:spacing w:after="0" w:line="240" w:lineRule="auto"/>
              <w:ind w:left="360"/>
              <w:contextualSpacing/>
              <w:jc w:val="both"/>
              <w:rPr>
                <w:rFonts w:eastAsia="Times New Roman" w:cstheme="minorHAnsi"/>
              </w:rPr>
            </w:pPr>
            <w:r w:rsidRPr="00F83F8D">
              <w:rPr>
                <w:rFonts w:eastAsia="Times New Roman" w:cstheme="minorHAnsi"/>
              </w:rPr>
              <w:t>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w:t>
            </w:r>
          </w:p>
        </w:tc>
      </w:tr>
    </w:tbl>
    <w:p w14:paraId="41D8DBAA" w14:textId="77777777" w:rsidR="00F83F8D" w:rsidRPr="00F83F8D" w:rsidRDefault="00F83F8D" w:rsidP="00F83F8D">
      <w:pPr>
        <w:spacing w:after="0" w:line="240" w:lineRule="auto"/>
        <w:ind w:left="360"/>
        <w:contextualSpacing/>
        <w:jc w:val="both"/>
        <w:rPr>
          <w:rFonts w:eastAsia="Times New Roman" w:cstheme="minorHAnsi"/>
          <w:vanish/>
        </w:rPr>
      </w:pPr>
    </w:p>
    <w:tbl>
      <w:tblPr>
        <w:tblW w:w="5000" w:type="pct"/>
        <w:jc w:val="center"/>
        <w:tblCellMar>
          <w:left w:w="0" w:type="dxa"/>
          <w:right w:w="0" w:type="dxa"/>
        </w:tblCellMar>
        <w:tblLook w:val="04A0" w:firstRow="1" w:lastRow="0" w:firstColumn="1" w:lastColumn="0" w:noHBand="0" w:noVBand="1"/>
      </w:tblPr>
      <w:tblGrid>
        <w:gridCol w:w="610"/>
        <w:gridCol w:w="8438"/>
      </w:tblGrid>
      <w:tr w:rsidR="00F83F8D" w:rsidRPr="00F83F8D" w14:paraId="76CF2F8D" w14:textId="77777777" w:rsidTr="00C94D0E">
        <w:trPr>
          <w:jc w:val="center"/>
        </w:trPr>
        <w:tc>
          <w:tcPr>
            <w:tcW w:w="0" w:type="auto"/>
            <w:shd w:val="clear" w:color="auto" w:fill="auto"/>
            <w:hideMark/>
          </w:tcPr>
          <w:p w14:paraId="376FCFB7" w14:textId="77777777" w:rsidR="00F83F8D" w:rsidRPr="00F83F8D" w:rsidRDefault="00F83F8D" w:rsidP="00F83F8D">
            <w:pPr>
              <w:spacing w:after="0" w:line="240" w:lineRule="auto"/>
              <w:ind w:left="360"/>
              <w:contextualSpacing/>
              <w:jc w:val="both"/>
              <w:rPr>
                <w:rFonts w:eastAsia="Times New Roman" w:cstheme="minorHAnsi"/>
              </w:rPr>
            </w:pPr>
            <w:r w:rsidRPr="00F83F8D">
              <w:rPr>
                <w:rFonts w:eastAsia="Times New Roman" w:cstheme="minorHAnsi"/>
              </w:rPr>
              <w:t>(b)</w:t>
            </w:r>
          </w:p>
        </w:tc>
        <w:tc>
          <w:tcPr>
            <w:tcW w:w="0" w:type="auto"/>
            <w:shd w:val="clear" w:color="auto" w:fill="auto"/>
            <w:hideMark/>
          </w:tcPr>
          <w:p w14:paraId="578079D8" w14:textId="77777777" w:rsidR="00F83F8D" w:rsidRPr="00F83F8D" w:rsidRDefault="00F83F8D" w:rsidP="00F83F8D">
            <w:pPr>
              <w:spacing w:after="0" w:line="240" w:lineRule="auto"/>
              <w:ind w:left="360"/>
              <w:contextualSpacing/>
              <w:jc w:val="both"/>
              <w:rPr>
                <w:rFonts w:eastAsia="Times New Roman" w:cstheme="minorHAnsi"/>
              </w:rPr>
            </w:pPr>
            <w:r w:rsidRPr="00F83F8D">
              <w:rPr>
                <w:rFonts w:eastAsia="Times New Roman" w:cstheme="minorHAnsi"/>
              </w:rPr>
              <w:t>includerea unei mențiuni care subliniază sprijinul din partea Uniunii într-un mod vizibil în documentele și în materialele de comunicare referitoare la implementarea operațiunii care sunt destinate publicului sau participanților;</w:t>
            </w:r>
          </w:p>
        </w:tc>
      </w:tr>
    </w:tbl>
    <w:p w14:paraId="05603D7F" w14:textId="77777777" w:rsidR="00F83F8D" w:rsidRPr="00F83F8D" w:rsidRDefault="00F83F8D" w:rsidP="00F83F8D">
      <w:pPr>
        <w:spacing w:after="0" w:line="240" w:lineRule="auto"/>
        <w:ind w:left="360"/>
        <w:contextualSpacing/>
        <w:jc w:val="both"/>
        <w:rPr>
          <w:rFonts w:eastAsia="Times New Roman" w:cstheme="minorHAnsi"/>
          <w:vanish/>
        </w:rPr>
      </w:pPr>
    </w:p>
    <w:tbl>
      <w:tblPr>
        <w:tblW w:w="5000" w:type="pct"/>
        <w:jc w:val="center"/>
        <w:tblCellMar>
          <w:left w:w="0" w:type="dxa"/>
          <w:right w:w="0" w:type="dxa"/>
        </w:tblCellMar>
        <w:tblLook w:val="04A0" w:firstRow="1" w:lastRow="0" w:firstColumn="1" w:lastColumn="0" w:noHBand="0" w:noVBand="1"/>
      </w:tblPr>
      <w:tblGrid>
        <w:gridCol w:w="587"/>
        <w:gridCol w:w="8461"/>
      </w:tblGrid>
      <w:tr w:rsidR="00F83F8D" w:rsidRPr="00F83F8D" w14:paraId="73AAAA71" w14:textId="77777777" w:rsidTr="00C94D0E">
        <w:trPr>
          <w:jc w:val="center"/>
        </w:trPr>
        <w:tc>
          <w:tcPr>
            <w:tcW w:w="0" w:type="auto"/>
            <w:shd w:val="clear" w:color="auto" w:fill="auto"/>
            <w:hideMark/>
          </w:tcPr>
          <w:p w14:paraId="5823DB9F" w14:textId="77777777" w:rsidR="00F83F8D" w:rsidRPr="00F83F8D" w:rsidRDefault="00F83F8D" w:rsidP="00F83F8D">
            <w:pPr>
              <w:spacing w:after="0" w:line="240" w:lineRule="auto"/>
              <w:ind w:left="360"/>
              <w:contextualSpacing/>
              <w:jc w:val="both"/>
              <w:rPr>
                <w:rFonts w:eastAsia="Times New Roman" w:cstheme="minorHAnsi"/>
              </w:rPr>
            </w:pPr>
            <w:r w:rsidRPr="00F83F8D">
              <w:rPr>
                <w:rFonts w:eastAsia="Times New Roman" w:cstheme="minorHAnsi"/>
              </w:rPr>
              <w:t>(c)</w:t>
            </w:r>
          </w:p>
        </w:tc>
        <w:tc>
          <w:tcPr>
            <w:tcW w:w="0" w:type="auto"/>
            <w:shd w:val="clear" w:color="auto" w:fill="auto"/>
            <w:hideMark/>
          </w:tcPr>
          <w:p w14:paraId="72AD3C39" w14:textId="77777777" w:rsidR="00F83F8D" w:rsidRPr="00F83F8D" w:rsidRDefault="00F83F8D" w:rsidP="00F83F8D">
            <w:pPr>
              <w:spacing w:after="0" w:line="240" w:lineRule="auto"/>
              <w:ind w:left="360"/>
              <w:contextualSpacing/>
              <w:jc w:val="both"/>
              <w:rPr>
                <w:rFonts w:eastAsia="Times New Roman" w:cstheme="minorHAnsi"/>
              </w:rPr>
            </w:pPr>
            <w:r w:rsidRPr="00F83F8D">
              <w:rPr>
                <w:rFonts w:eastAsia="Times New Roman" w:cstheme="minorHAnsi"/>
              </w:rPr>
              <w:t>expunerea, de la începerea implementării fizice a operațiunilor care implică investiții fizice sau de la instalarea echipamentelor achiziționate, a unor plăci sau panouri rezistente, clar vizibile publicului, care conțin emblema Uniunii în conformitate cu caracteristicile tehnice stabilite în anexa IX și informații cu privire la:</w:t>
            </w:r>
          </w:p>
          <w:tbl>
            <w:tblPr>
              <w:tblW w:w="5000" w:type="pct"/>
              <w:tblCellMar>
                <w:left w:w="0" w:type="dxa"/>
                <w:right w:w="0" w:type="dxa"/>
              </w:tblCellMar>
              <w:tblLook w:val="04A0" w:firstRow="1" w:lastRow="0" w:firstColumn="1" w:lastColumn="0" w:noHBand="0" w:noVBand="1"/>
            </w:tblPr>
            <w:tblGrid>
              <w:gridCol w:w="544"/>
              <w:gridCol w:w="7917"/>
            </w:tblGrid>
            <w:tr w:rsidR="00F83F8D" w:rsidRPr="00F83F8D" w14:paraId="055B098B" w14:textId="77777777" w:rsidTr="00C94D0E">
              <w:tc>
                <w:tcPr>
                  <w:tcW w:w="0" w:type="auto"/>
                  <w:shd w:val="clear" w:color="auto" w:fill="auto"/>
                  <w:hideMark/>
                </w:tcPr>
                <w:p w14:paraId="7AEC5243" w14:textId="77777777" w:rsidR="00F83F8D" w:rsidRPr="00F83F8D" w:rsidRDefault="00F83F8D" w:rsidP="00F83F8D">
                  <w:pPr>
                    <w:spacing w:after="0" w:line="240" w:lineRule="auto"/>
                    <w:ind w:left="360"/>
                    <w:contextualSpacing/>
                    <w:jc w:val="both"/>
                    <w:rPr>
                      <w:rFonts w:eastAsia="Times New Roman" w:cstheme="minorHAnsi"/>
                    </w:rPr>
                  </w:pPr>
                  <w:r w:rsidRPr="00F83F8D">
                    <w:rPr>
                      <w:rFonts w:eastAsia="Times New Roman" w:cstheme="minorHAnsi"/>
                    </w:rPr>
                    <w:t>(i)</w:t>
                  </w:r>
                </w:p>
              </w:tc>
              <w:tc>
                <w:tcPr>
                  <w:tcW w:w="0" w:type="auto"/>
                  <w:shd w:val="clear" w:color="auto" w:fill="auto"/>
                  <w:hideMark/>
                </w:tcPr>
                <w:p w14:paraId="571CC269" w14:textId="77777777" w:rsidR="00F83F8D" w:rsidRPr="00F83F8D" w:rsidRDefault="00F83F8D" w:rsidP="00F83F8D">
                  <w:pPr>
                    <w:spacing w:after="0" w:line="240" w:lineRule="auto"/>
                    <w:ind w:left="360"/>
                    <w:contextualSpacing/>
                    <w:jc w:val="both"/>
                    <w:rPr>
                      <w:rFonts w:eastAsia="Times New Roman" w:cstheme="minorHAnsi"/>
                    </w:rPr>
                  </w:pPr>
                  <w:r w:rsidRPr="00F83F8D">
                    <w:rPr>
                      <w:rFonts w:eastAsia="Times New Roman" w:cstheme="minorHAnsi"/>
                    </w:rPr>
                    <w:t>operațiunile sprijinite din FEDR și Fondul de coeziune al căror cost total depășește 500 000 EUR;</w:t>
                  </w:r>
                </w:p>
              </w:tc>
            </w:tr>
          </w:tbl>
          <w:p w14:paraId="1089D358" w14:textId="77777777" w:rsidR="00F83F8D" w:rsidRPr="00F83F8D" w:rsidRDefault="00F83F8D" w:rsidP="00F83F8D">
            <w:pPr>
              <w:spacing w:after="0" w:line="240" w:lineRule="auto"/>
              <w:ind w:left="360"/>
              <w:contextualSpacing/>
              <w:jc w:val="both"/>
              <w:rPr>
                <w:rFonts w:eastAsia="Times New Roman" w:cstheme="minorHAnsi"/>
                <w:vanish/>
              </w:rPr>
            </w:pPr>
          </w:p>
          <w:tbl>
            <w:tblPr>
              <w:tblW w:w="5000" w:type="pct"/>
              <w:tblCellMar>
                <w:left w:w="0" w:type="dxa"/>
                <w:right w:w="0" w:type="dxa"/>
              </w:tblCellMar>
              <w:tblLook w:val="04A0" w:firstRow="1" w:lastRow="0" w:firstColumn="1" w:lastColumn="0" w:noHBand="0" w:noVBand="1"/>
            </w:tblPr>
            <w:tblGrid>
              <w:gridCol w:w="595"/>
              <w:gridCol w:w="7866"/>
            </w:tblGrid>
            <w:tr w:rsidR="00F83F8D" w:rsidRPr="00F83F8D" w14:paraId="069265B4" w14:textId="77777777" w:rsidTr="00C94D0E">
              <w:tc>
                <w:tcPr>
                  <w:tcW w:w="0" w:type="auto"/>
                  <w:shd w:val="clear" w:color="auto" w:fill="auto"/>
                  <w:hideMark/>
                </w:tcPr>
                <w:p w14:paraId="127D9324" w14:textId="77777777" w:rsidR="00F83F8D" w:rsidRPr="00F83F8D" w:rsidRDefault="00F83F8D" w:rsidP="00F83F8D">
                  <w:pPr>
                    <w:spacing w:after="0" w:line="240" w:lineRule="auto"/>
                    <w:ind w:left="360"/>
                    <w:contextualSpacing/>
                    <w:jc w:val="both"/>
                    <w:rPr>
                      <w:rFonts w:eastAsia="Times New Roman" w:cstheme="minorHAnsi"/>
                    </w:rPr>
                  </w:pPr>
                  <w:r w:rsidRPr="00F83F8D">
                    <w:rPr>
                      <w:rFonts w:eastAsia="Times New Roman" w:cstheme="minorHAnsi"/>
                    </w:rPr>
                    <w:t>(ii)</w:t>
                  </w:r>
                </w:p>
              </w:tc>
              <w:tc>
                <w:tcPr>
                  <w:tcW w:w="0" w:type="auto"/>
                  <w:shd w:val="clear" w:color="auto" w:fill="auto"/>
                  <w:hideMark/>
                </w:tcPr>
                <w:p w14:paraId="76827A15" w14:textId="77777777" w:rsidR="00F83F8D" w:rsidRPr="00F83F8D" w:rsidRDefault="00F83F8D" w:rsidP="00F83F8D">
                  <w:pPr>
                    <w:spacing w:after="0" w:line="240" w:lineRule="auto"/>
                    <w:ind w:left="360"/>
                    <w:contextualSpacing/>
                    <w:jc w:val="both"/>
                    <w:rPr>
                      <w:rFonts w:eastAsia="Times New Roman" w:cstheme="minorHAnsi"/>
                    </w:rPr>
                  </w:pPr>
                  <w:r w:rsidRPr="00F83F8D">
                    <w:rPr>
                      <w:rFonts w:eastAsia="Times New Roman" w:cstheme="minorHAnsi"/>
                    </w:rPr>
                    <w:t>operațiunile sprijinite din FSE+, FTJ, FEAMPA, FAMI, FSI sau de IMFV al căror cost total depășește 100 000 EUR;</w:t>
                  </w:r>
                </w:p>
              </w:tc>
            </w:tr>
          </w:tbl>
          <w:p w14:paraId="3954576C" w14:textId="77777777" w:rsidR="00F83F8D" w:rsidRPr="00F83F8D" w:rsidRDefault="00F83F8D" w:rsidP="00F83F8D">
            <w:pPr>
              <w:spacing w:after="0" w:line="240" w:lineRule="auto"/>
              <w:ind w:left="360"/>
              <w:contextualSpacing/>
              <w:jc w:val="both"/>
              <w:rPr>
                <w:rFonts w:eastAsia="Times New Roman" w:cstheme="minorHAnsi"/>
              </w:rPr>
            </w:pPr>
          </w:p>
        </w:tc>
      </w:tr>
    </w:tbl>
    <w:p w14:paraId="75599394" w14:textId="77777777" w:rsidR="00F83F8D" w:rsidRPr="00F83F8D" w:rsidRDefault="00F83F8D" w:rsidP="00F83F8D">
      <w:pPr>
        <w:spacing w:after="0" w:line="240" w:lineRule="auto"/>
        <w:ind w:left="360"/>
        <w:contextualSpacing/>
        <w:jc w:val="both"/>
        <w:rPr>
          <w:rFonts w:eastAsia="Times New Roman" w:cstheme="minorHAnsi"/>
          <w:vanish/>
        </w:rPr>
      </w:pPr>
    </w:p>
    <w:tbl>
      <w:tblPr>
        <w:tblW w:w="5000" w:type="pct"/>
        <w:jc w:val="center"/>
        <w:tblCellMar>
          <w:left w:w="0" w:type="dxa"/>
          <w:right w:w="0" w:type="dxa"/>
        </w:tblCellMar>
        <w:tblLook w:val="04A0" w:firstRow="1" w:lastRow="0" w:firstColumn="1" w:lastColumn="0" w:noHBand="0" w:noVBand="1"/>
      </w:tblPr>
      <w:tblGrid>
        <w:gridCol w:w="610"/>
        <w:gridCol w:w="8438"/>
      </w:tblGrid>
      <w:tr w:rsidR="00F83F8D" w:rsidRPr="00F83F8D" w14:paraId="2C38B356" w14:textId="77777777" w:rsidTr="00C94D0E">
        <w:trPr>
          <w:jc w:val="center"/>
        </w:trPr>
        <w:tc>
          <w:tcPr>
            <w:tcW w:w="0" w:type="auto"/>
            <w:shd w:val="clear" w:color="auto" w:fill="auto"/>
            <w:hideMark/>
          </w:tcPr>
          <w:p w14:paraId="087F8F94" w14:textId="77777777" w:rsidR="00F83F8D" w:rsidRPr="00F83F8D" w:rsidRDefault="00F83F8D" w:rsidP="00F83F8D">
            <w:pPr>
              <w:spacing w:after="0" w:line="240" w:lineRule="auto"/>
              <w:ind w:left="360"/>
              <w:contextualSpacing/>
              <w:jc w:val="both"/>
              <w:rPr>
                <w:rFonts w:eastAsia="Times New Roman" w:cstheme="minorHAnsi"/>
              </w:rPr>
            </w:pPr>
            <w:r w:rsidRPr="00F83F8D">
              <w:rPr>
                <w:rFonts w:eastAsia="Times New Roman" w:cstheme="minorHAnsi"/>
              </w:rPr>
              <w:t>(d)</w:t>
            </w:r>
          </w:p>
        </w:tc>
        <w:tc>
          <w:tcPr>
            <w:tcW w:w="0" w:type="auto"/>
            <w:shd w:val="clear" w:color="auto" w:fill="auto"/>
            <w:hideMark/>
          </w:tcPr>
          <w:p w14:paraId="20B3C927" w14:textId="77777777" w:rsidR="00F83F8D" w:rsidRPr="00F83F8D" w:rsidRDefault="00F83F8D" w:rsidP="00F83F8D">
            <w:pPr>
              <w:spacing w:after="0" w:line="240" w:lineRule="auto"/>
              <w:ind w:left="360"/>
              <w:contextualSpacing/>
              <w:jc w:val="both"/>
              <w:rPr>
                <w:rFonts w:eastAsia="Times New Roman" w:cstheme="minorHAnsi"/>
              </w:rPr>
            </w:pPr>
            <w:r w:rsidRPr="00F83F8D">
              <w:rPr>
                <w:rFonts w:eastAsia="Times New Roman" w:cstheme="minorHAnsi"/>
              </w:rPr>
              <w:t>în cazul operațiunilor care nu se încadrează la litera (c), prin expunerea într-un loc ușor vizibil publicului cel puțin a unui afiș cu dimensiunea minimă A3 sau a unui afișaj electronic echivalent conținând informații despre operațiune care evidențiază sprijinul din partea fondurilor; în cazul în care beneficiarul este o persoană fizică, acesta se asigură, în măsura posibilului, că sunt disponibile informații adecvate care evidențiază sprijinul din partea fondurilor, într-un loc vizibil publicului sau prin intermediul unui afișaj electronic;</w:t>
            </w:r>
          </w:p>
        </w:tc>
      </w:tr>
    </w:tbl>
    <w:p w14:paraId="7AD8DBED" w14:textId="3AFE9193" w:rsidR="002D37D7" w:rsidRPr="009E4603" w:rsidRDefault="002D37D7" w:rsidP="00527390">
      <w:pPr>
        <w:spacing w:after="0" w:line="240" w:lineRule="auto"/>
        <w:contextualSpacing/>
        <w:jc w:val="both"/>
        <w:rPr>
          <w:rFonts w:eastAsia="Times New Roman" w:cstheme="minorHAnsi"/>
        </w:rPr>
      </w:pPr>
    </w:p>
    <w:p w14:paraId="1ED14ACB" w14:textId="478D4225" w:rsidR="00C66876" w:rsidRDefault="00C66876" w:rsidP="002D37D7">
      <w:pPr>
        <w:numPr>
          <w:ilvl w:val="0"/>
          <w:numId w:val="7"/>
        </w:numPr>
        <w:spacing w:after="100" w:afterAutospacing="1" w:line="240" w:lineRule="auto"/>
        <w:ind w:left="360"/>
        <w:contextualSpacing/>
        <w:jc w:val="both"/>
        <w:rPr>
          <w:rFonts w:eastAsia="Times New Roman" w:cstheme="minorHAnsi"/>
          <w:shd w:val="clear" w:color="auto" w:fill="FFFFFF"/>
        </w:rPr>
      </w:pPr>
      <w:r w:rsidRPr="00C66876">
        <w:rPr>
          <w:rFonts w:eastAsia="Times New Roman" w:cstheme="minorHAnsi"/>
          <w:shd w:val="clear" w:color="auto" w:fill="FFFFFF"/>
        </w:rPr>
        <w:t>Cerințele mentionate la alin (1) se completează cu  prevederile Manualului de Identitate Vizuală al PR SE 2021-2027,  în vigoare la momentul realizării măsurilor de informare și publicitate.</w:t>
      </w:r>
    </w:p>
    <w:p w14:paraId="6C7A1A91" w14:textId="34DD09E4" w:rsidR="002D37D7" w:rsidRPr="00974649" w:rsidRDefault="002D37D7" w:rsidP="002D37D7">
      <w:pPr>
        <w:numPr>
          <w:ilvl w:val="0"/>
          <w:numId w:val="7"/>
        </w:numPr>
        <w:spacing w:after="100" w:afterAutospacing="1" w:line="240" w:lineRule="auto"/>
        <w:ind w:left="360"/>
        <w:contextualSpacing/>
        <w:jc w:val="both"/>
        <w:rPr>
          <w:rFonts w:eastAsia="Times New Roman" w:cstheme="minorHAnsi"/>
          <w:shd w:val="clear" w:color="auto" w:fill="FFFFFF"/>
        </w:rPr>
      </w:pPr>
      <w:r w:rsidRPr="00A61C18">
        <w:rPr>
          <w:rFonts w:eastAsia="Times New Roman" w:cstheme="minorHAnsi"/>
          <w:shd w:val="clear" w:color="auto" w:fill="FFFFFF"/>
        </w:rPr>
        <w:lastRenderedPageBreak/>
        <w:t>În cazul în care beneficiarul nu își respectă obligațiile ce îi revin în temeiul articolului 47 sau articol</w:t>
      </w:r>
      <w:r w:rsidR="00A032F8">
        <w:rPr>
          <w:rFonts w:eastAsia="Times New Roman" w:cstheme="minorHAnsi"/>
          <w:shd w:val="clear" w:color="auto" w:fill="FFFFFF"/>
        </w:rPr>
        <w:t xml:space="preserve">ului 50, alineatele (1) și (2) din Regulamentul (UE) </w:t>
      </w:r>
      <w:r w:rsidR="000660F0">
        <w:rPr>
          <w:rFonts w:eastAsia="Times New Roman" w:cstheme="minorHAnsi"/>
          <w:shd w:val="clear" w:color="auto" w:fill="FFFFFF"/>
        </w:rPr>
        <w:t>1060</w:t>
      </w:r>
      <w:r w:rsidR="00A032F8">
        <w:rPr>
          <w:rFonts w:eastAsia="Times New Roman" w:cstheme="minorHAnsi"/>
          <w:shd w:val="clear" w:color="auto" w:fill="FFFFFF"/>
        </w:rPr>
        <w:t>/</w:t>
      </w:r>
      <w:r w:rsidR="000660F0">
        <w:rPr>
          <w:rFonts w:eastAsia="Times New Roman" w:cstheme="minorHAnsi"/>
          <w:shd w:val="clear" w:color="auto" w:fill="FFFFFF"/>
        </w:rPr>
        <w:t>2021</w:t>
      </w:r>
      <w:r w:rsidRPr="00A61C18">
        <w:rPr>
          <w:rFonts w:eastAsia="Times New Roman" w:cstheme="minorHAnsi"/>
          <w:shd w:val="clear" w:color="auto" w:fill="FFFFFF"/>
        </w:rPr>
        <w:t xml:space="preserve"> și în cazul în care nu se iau măsuri de remediere, se poate impune aplicarea unor măsuri de </w:t>
      </w:r>
      <w:r w:rsidRPr="00AA346C">
        <w:rPr>
          <w:rFonts w:eastAsia="Times New Roman" w:cstheme="minorHAnsi"/>
          <w:shd w:val="clear" w:color="auto" w:fill="FFFFFF"/>
        </w:rPr>
        <w:t>către Autoritatea de Management (AM), cu luarea în considerare a principiului proporționalității</w:t>
      </w:r>
      <w:r w:rsidRPr="00974649">
        <w:rPr>
          <w:rFonts w:eastAsia="Times New Roman" w:cstheme="minorHAnsi"/>
          <w:shd w:val="clear" w:color="auto" w:fill="FFFFFF"/>
        </w:rPr>
        <w:t>, anulând până la 3% din sprijinul din partea fondurilor pentru operațiunea în cauză.</w:t>
      </w:r>
    </w:p>
    <w:p w14:paraId="235A161A" w14:textId="6CE693BE" w:rsidR="002D37D7" w:rsidRPr="00A61C18" w:rsidRDefault="002D37D7" w:rsidP="002D37D7">
      <w:pPr>
        <w:numPr>
          <w:ilvl w:val="0"/>
          <w:numId w:val="7"/>
        </w:numPr>
        <w:spacing w:after="100" w:afterAutospacing="1" w:line="240" w:lineRule="auto"/>
        <w:ind w:left="360"/>
        <w:contextualSpacing/>
        <w:jc w:val="both"/>
        <w:rPr>
          <w:rFonts w:eastAsia="Times New Roman" w:cstheme="minorHAnsi"/>
          <w:shd w:val="clear" w:color="auto" w:fill="FFFFFF"/>
        </w:rPr>
      </w:pPr>
      <w:r w:rsidRPr="00AA346C">
        <w:rPr>
          <w:rFonts w:eastAsia="Times New Roman" w:cstheme="minorHAnsi"/>
        </w:rPr>
        <w:t>Beneficiarul este responsabil pentru implementarea activităţilor de informare şi</w:t>
      </w:r>
      <w:r w:rsidRPr="00A61C18">
        <w:rPr>
          <w:rFonts w:eastAsia="Times New Roman" w:cstheme="minorHAnsi"/>
        </w:rPr>
        <w:t xml:space="preserve"> comunicare în legătură cu asistenţa financiară nerambursabilă obţinută prin </w:t>
      </w:r>
      <w:bookmarkStart w:id="0" w:name="_Hlk141281744"/>
      <w:r w:rsidRPr="00A61C18">
        <w:rPr>
          <w:rFonts w:eastAsia="Times New Roman" w:cstheme="minorHAnsi"/>
        </w:rPr>
        <w:t>PR SE</w:t>
      </w:r>
      <w:bookmarkEnd w:id="0"/>
      <w:r w:rsidR="00583B69">
        <w:rPr>
          <w:rFonts w:eastAsia="Times New Roman" w:cstheme="minorHAnsi"/>
        </w:rPr>
        <w:t xml:space="preserve"> </w:t>
      </w:r>
      <w:r w:rsidR="00583B69" w:rsidRPr="00701567">
        <w:rPr>
          <w:rFonts w:eastAsia="Times New Roman" w:cstheme="minorHAnsi"/>
        </w:rPr>
        <w:t>2021-2027</w:t>
      </w:r>
      <w:r w:rsidRPr="00701567">
        <w:rPr>
          <w:rFonts w:eastAsia="Times New Roman" w:cstheme="minorHAnsi"/>
        </w:rPr>
        <w:t>,</w:t>
      </w:r>
      <w:r w:rsidRPr="00A61C18">
        <w:rPr>
          <w:rFonts w:eastAsia="Times New Roman" w:cstheme="minorHAnsi"/>
        </w:rPr>
        <w:t xml:space="preserve"> în conformitate cu cele declarate în cererea de finanţare.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520EACCD" w14:textId="7CB8650D" w:rsidR="002D37D7" w:rsidRPr="00A61C18" w:rsidRDefault="002D37D7" w:rsidP="002D37D7">
      <w:pPr>
        <w:numPr>
          <w:ilvl w:val="0"/>
          <w:numId w:val="7"/>
        </w:numPr>
        <w:spacing w:after="100" w:afterAutospacing="1" w:line="240" w:lineRule="auto"/>
        <w:ind w:left="360"/>
        <w:contextualSpacing/>
        <w:jc w:val="both"/>
        <w:rPr>
          <w:rFonts w:eastAsia="Times New Roman" w:cstheme="minorHAnsi"/>
        </w:rPr>
      </w:pPr>
      <w:r w:rsidRPr="00A61C18">
        <w:rPr>
          <w:rFonts w:eastAsia="Times New Roman" w:cstheme="minorHAnsi"/>
        </w:rPr>
        <w:t xml:space="preserve">Acceptarea finanţării conduce la acceptarea de către Beneficiar a introducerii pe lista operațiunilor selectate întocmită de Autoritatea de Management, în conformitate cu prevederile art. 49 din Regulamentul (UE) </w:t>
      </w:r>
      <w:r w:rsidR="000660F0" w:rsidRPr="00A61C18">
        <w:rPr>
          <w:rFonts w:eastAsia="Times New Roman" w:cstheme="minorHAnsi"/>
        </w:rPr>
        <w:t>1.060</w:t>
      </w:r>
      <w:r w:rsidRPr="00A61C18">
        <w:rPr>
          <w:rFonts w:eastAsia="Times New Roman" w:cstheme="minorHAnsi"/>
        </w:rPr>
        <w:t>/</w:t>
      </w:r>
      <w:r w:rsidR="000660F0" w:rsidRPr="00A61C18">
        <w:rPr>
          <w:rFonts w:eastAsia="Times New Roman" w:cstheme="minorHAnsi"/>
        </w:rPr>
        <w:t>2021</w:t>
      </w:r>
      <w:r w:rsidRPr="00A61C18">
        <w:rPr>
          <w:rFonts w:eastAsia="Times New Roman" w:cstheme="minorHAnsi"/>
        </w:rPr>
        <w:t xml:space="preserve">. Astfel, Beneficiarul este de acord ca, odată cu acceptarea finanţării, următoarele date să fie publicate, electronic sau în orice alt mod: </w:t>
      </w:r>
      <w:r w:rsidRPr="00A61C18">
        <w:rPr>
          <w:rFonts w:eastAsia="Times New Roman" w:cstheme="minorHAnsi"/>
          <w:i/>
        </w:rPr>
        <w:t xml:space="preserve">denumirea beneficiarului și, în cazul unei achiziții publice, denumirea contractantului, titlul proiectului, obiectivul proiectului, rezumatul proiectului ca fisa de proiect, data începerii şi finalizării proiectului, cheltuielile totale ale proiectului, cu evidenţierea contribuţiei Uniunii Europene, codul poştal al locului unde se implementează proiectul sau o altă informaţie corespunzătoare care să indice localizarea, date de contact ale beneficiarului, persoană de contact. </w:t>
      </w:r>
    </w:p>
    <w:p w14:paraId="180807A5" w14:textId="7B855AFE" w:rsidR="002D37D7" w:rsidRPr="00A61C18" w:rsidRDefault="002D37D7" w:rsidP="002D37D7">
      <w:pPr>
        <w:numPr>
          <w:ilvl w:val="0"/>
          <w:numId w:val="7"/>
        </w:numPr>
        <w:spacing w:after="200" w:line="240" w:lineRule="auto"/>
        <w:ind w:left="360"/>
        <w:contextualSpacing/>
        <w:jc w:val="both"/>
        <w:rPr>
          <w:rFonts w:eastAsia="Times New Roman" w:cstheme="minorHAnsi"/>
        </w:rPr>
      </w:pPr>
      <w:r w:rsidRPr="00A61C18">
        <w:rPr>
          <w:rFonts w:eastAsia="Times New Roman" w:cstheme="minorHAnsi"/>
        </w:rPr>
        <w:t>Beneficiarul este obligat să utilizeze, pentru toate materialele de informare şi publicitate realizate în cadrul proiectelor fina</w:t>
      </w:r>
      <w:r w:rsidRPr="00AA346C">
        <w:rPr>
          <w:rFonts w:eastAsia="Times New Roman" w:cstheme="minorHAnsi"/>
        </w:rPr>
        <w:t>nţate prin PR SE</w:t>
      </w:r>
      <w:r w:rsidR="00583B69" w:rsidRPr="00AA346C">
        <w:rPr>
          <w:rFonts w:eastAsia="Times New Roman" w:cstheme="minorHAnsi"/>
        </w:rPr>
        <w:t xml:space="preserve"> </w:t>
      </w:r>
      <w:r w:rsidR="00583B69" w:rsidRPr="00974649">
        <w:rPr>
          <w:rFonts w:eastAsia="Times New Roman" w:cstheme="minorHAnsi"/>
        </w:rPr>
        <w:t>2021-2027</w:t>
      </w:r>
      <w:r w:rsidRPr="00974649">
        <w:rPr>
          <w:rFonts w:eastAsia="Times New Roman" w:cstheme="minorHAnsi"/>
        </w:rPr>
        <w:t>, măsurile impuse prin Manualul de Identitate vizuală</w:t>
      </w:r>
      <w:r w:rsidR="00BC7EF7" w:rsidRPr="00974649">
        <w:rPr>
          <w:rFonts w:eastAsia="Times New Roman" w:cstheme="minorHAnsi"/>
        </w:rPr>
        <w:t xml:space="preserve"> al PR SE</w:t>
      </w:r>
      <w:r w:rsidRPr="00974649">
        <w:rPr>
          <w:rFonts w:eastAsia="Times New Roman" w:cstheme="minorHAnsi"/>
        </w:rPr>
        <w:t xml:space="preserve"> 2021-2027,</w:t>
      </w:r>
      <w:r w:rsidR="002804E1" w:rsidRPr="00974649">
        <w:rPr>
          <w:rFonts w:eastAsia="Times New Roman" w:cstheme="minorHAnsi"/>
        </w:rPr>
        <w:t xml:space="preserve"> </w:t>
      </w:r>
      <w:r w:rsidR="002804E1" w:rsidRPr="00974649">
        <w:rPr>
          <w:rFonts w:eastAsia="Times New Roman" w:cstheme="minorHAnsi"/>
        </w:rPr>
        <w:t>respectiv ale Manualului de Identitate Vizuală al PR SE 2021-2027 pentru Operațiunea de importanță strategică – Acțiunea 2.2</w:t>
      </w:r>
      <w:r w:rsidR="002804E1" w:rsidRPr="00AA346C">
        <w:rPr>
          <w:rFonts w:eastAsia="Times New Roman" w:cstheme="minorHAnsi"/>
        </w:rPr>
        <w:t>,</w:t>
      </w:r>
      <w:r w:rsidRPr="00AA346C">
        <w:rPr>
          <w:rFonts w:eastAsia="Times New Roman" w:cstheme="minorHAnsi"/>
        </w:rPr>
        <w:t xml:space="preserve"> </w:t>
      </w:r>
      <w:bookmarkStart w:id="1" w:name="_Hlk141334080"/>
      <w:r w:rsidRPr="00AA346C">
        <w:rPr>
          <w:rFonts w:eastAsia="Times New Roman" w:cstheme="minorHAnsi"/>
        </w:rPr>
        <w:t>aflat</w:t>
      </w:r>
      <w:r w:rsidR="002804E1" w:rsidRPr="00974649">
        <w:rPr>
          <w:rFonts w:eastAsia="Times New Roman" w:cstheme="minorHAnsi"/>
        </w:rPr>
        <w:t>e</w:t>
      </w:r>
      <w:r w:rsidRPr="00A61C18">
        <w:rPr>
          <w:rFonts w:eastAsia="Times New Roman" w:cstheme="minorHAnsi"/>
        </w:rPr>
        <w:t xml:space="preserve"> în vigoare la momentul realizării măsurilor de informare și publicitate</w:t>
      </w:r>
      <w:bookmarkEnd w:id="1"/>
      <w:r w:rsidRPr="00A61C18">
        <w:rPr>
          <w:rFonts w:eastAsia="Times New Roman" w:cstheme="minorHAnsi"/>
        </w:rPr>
        <w:t>.</w:t>
      </w:r>
    </w:p>
    <w:p w14:paraId="071A1040" w14:textId="6A18D470" w:rsidR="002D37D7" w:rsidRPr="00A61C18" w:rsidRDefault="002D37D7" w:rsidP="002D37D7">
      <w:pPr>
        <w:numPr>
          <w:ilvl w:val="0"/>
          <w:numId w:val="7"/>
        </w:numPr>
        <w:spacing w:after="200" w:line="240" w:lineRule="auto"/>
        <w:ind w:left="360"/>
        <w:contextualSpacing/>
        <w:jc w:val="both"/>
        <w:rPr>
          <w:rFonts w:eastAsia="Times New Roman" w:cstheme="minorHAnsi"/>
          <w:b/>
          <w:bCs/>
        </w:rPr>
      </w:pPr>
      <w:r w:rsidRPr="00A61C18">
        <w:rPr>
          <w:rFonts w:eastAsia="Times New Roman" w:cstheme="minorHAnsi"/>
        </w:rPr>
        <w:t>Beneficiarul are obligaţia să pună la dispoziţia AM, la cererea acesteia, date şi informaţii despre proiecte şi stadiul lor de implementare, în vederea asigurării transparenței utilizării fondurilor</w:t>
      </w:r>
      <w:r w:rsidRPr="00A61C18">
        <w:rPr>
          <w:rFonts w:eastAsia="Times New Roman" w:cstheme="minorHAnsi"/>
          <w:b/>
          <w:bCs/>
        </w:rPr>
        <w:t>.</w:t>
      </w:r>
      <w:r w:rsidR="00B17496" w:rsidRPr="00A61C18">
        <w:rPr>
          <w:rFonts w:eastAsia="Times New Roman" w:cstheme="minorHAnsi"/>
          <w:b/>
          <w:bCs/>
        </w:rPr>
        <w:t xml:space="preserve"> </w:t>
      </w:r>
    </w:p>
    <w:p w14:paraId="0DEE096C" w14:textId="0C797BA7" w:rsidR="002D37D7" w:rsidRPr="00A61C18" w:rsidRDefault="002D37D7" w:rsidP="002D37D7">
      <w:pPr>
        <w:numPr>
          <w:ilvl w:val="0"/>
          <w:numId w:val="7"/>
        </w:numPr>
        <w:spacing w:before="100" w:beforeAutospacing="1" w:after="100" w:afterAutospacing="1" w:line="240" w:lineRule="auto"/>
        <w:ind w:left="360"/>
        <w:contextualSpacing/>
        <w:jc w:val="both"/>
        <w:rPr>
          <w:rFonts w:eastAsia="Times New Roman" w:cstheme="minorHAnsi"/>
          <w:lang w:eastAsia="ro-RO"/>
        </w:rPr>
      </w:pPr>
      <w:r w:rsidRPr="00A61C18">
        <w:rPr>
          <w:rFonts w:eastAsia="Times New Roman" w:cstheme="minorHAnsi"/>
          <w:lang w:eastAsia="ro-RO"/>
        </w:rPr>
        <w:t xml:space="preserve">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w:t>
      </w:r>
      <w:r w:rsidRPr="00A61C18">
        <w:rPr>
          <w:rFonts w:eastAsia="Times New Roman" w:cstheme="minorHAnsi"/>
        </w:rPr>
        <w:t xml:space="preserve">UE) </w:t>
      </w:r>
      <w:r w:rsidR="000660F0" w:rsidRPr="00A61C18">
        <w:rPr>
          <w:rFonts w:eastAsia="Times New Roman" w:cstheme="minorHAnsi"/>
        </w:rPr>
        <w:t>1.060</w:t>
      </w:r>
      <w:r w:rsidRPr="00A61C18">
        <w:rPr>
          <w:rFonts w:eastAsia="Times New Roman" w:cstheme="minorHAnsi"/>
        </w:rPr>
        <w:t>/</w:t>
      </w:r>
      <w:r w:rsidR="000660F0" w:rsidRPr="00A61C18">
        <w:rPr>
          <w:rFonts w:eastAsia="Times New Roman" w:cstheme="minorHAnsi"/>
        </w:rPr>
        <w:t>2021</w:t>
      </w:r>
      <w:r w:rsidRPr="00A61C18">
        <w:rPr>
          <w:rFonts w:eastAsia="Times New Roman" w:cstheme="minorHAnsi"/>
        </w:rPr>
        <w:t>.</w:t>
      </w:r>
      <w:r w:rsidRPr="00A61C18">
        <w:rPr>
          <w:rFonts w:eastAsia="Times New Roman" w:cstheme="minorHAnsi"/>
          <w:lang w:eastAsia="ro-RO"/>
        </w:rPr>
        <w:t xml:space="preserve"> </w:t>
      </w:r>
    </w:p>
    <w:p w14:paraId="7FEC211D" w14:textId="30A2ADAD" w:rsidR="002D37D7" w:rsidRPr="00701567" w:rsidRDefault="002D37D7" w:rsidP="002D37D7">
      <w:pPr>
        <w:numPr>
          <w:ilvl w:val="0"/>
          <w:numId w:val="7"/>
        </w:numPr>
        <w:spacing w:after="200" w:line="240" w:lineRule="auto"/>
        <w:ind w:left="360"/>
        <w:contextualSpacing/>
        <w:jc w:val="both"/>
        <w:rPr>
          <w:rFonts w:eastAsia="Times New Roman" w:cstheme="minorHAnsi"/>
        </w:rPr>
      </w:pPr>
      <w:r w:rsidRPr="00701567">
        <w:rPr>
          <w:rFonts w:eastAsia="Times New Roman" w:cstheme="minorHAnsi"/>
        </w:rPr>
        <w:t>Elementele obligatorii de identitate vizuală vor fi folosite pe toate materialele de comunicare</w:t>
      </w:r>
      <w:r w:rsidR="00AF3164" w:rsidRPr="00701567">
        <w:rPr>
          <w:rFonts w:eastAsia="Times New Roman" w:cstheme="minorHAnsi"/>
        </w:rPr>
        <w:t xml:space="preserve">, conform </w:t>
      </w:r>
      <w:r w:rsidR="007D353D" w:rsidRPr="00701567">
        <w:rPr>
          <w:rFonts w:eastAsia="Times New Roman" w:cstheme="minorHAnsi"/>
        </w:rPr>
        <w:t>Manualu</w:t>
      </w:r>
      <w:r w:rsidR="00BC7EF7" w:rsidRPr="00701567">
        <w:rPr>
          <w:rFonts w:eastAsia="Times New Roman" w:cstheme="minorHAnsi"/>
        </w:rPr>
        <w:t>lui de Identitate Vizuală al</w:t>
      </w:r>
      <w:r w:rsidR="007D353D" w:rsidRPr="00701567">
        <w:rPr>
          <w:rFonts w:eastAsia="Times New Roman" w:cstheme="minorHAnsi"/>
        </w:rPr>
        <w:t xml:space="preserve"> PR SE</w:t>
      </w:r>
      <w:r w:rsidR="00BC7EF7" w:rsidRPr="00701567">
        <w:rPr>
          <w:rFonts w:eastAsia="Times New Roman" w:cstheme="minorHAnsi"/>
        </w:rPr>
        <w:t xml:space="preserve"> 2021-2027</w:t>
      </w:r>
      <w:r w:rsidR="00687E52">
        <w:rPr>
          <w:rFonts w:eastAsia="Times New Roman" w:cstheme="minorHAnsi"/>
        </w:rPr>
        <w:t xml:space="preserve"> </w:t>
      </w:r>
      <w:r w:rsidR="00687E52" w:rsidRPr="00974649">
        <w:rPr>
          <w:rFonts w:eastAsia="Times New Roman" w:cstheme="minorHAnsi"/>
        </w:rPr>
        <w:t>respectiv ale Manualului de Identitate Vizuală al PR SE 2021-2027 pentru Operațiunea de importanță strategică – Acțiunea 2.2</w:t>
      </w:r>
      <w:r w:rsidR="00BC7EF7" w:rsidRPr="00974649">
        <w:rPr>
          <w:rFonts w:eastAsia="Times New Roman" w:cstheme="minorHAnsi"/>
        </w:rPr>
        <w:t>.</w:t>
      </w:r>
    </w:p>
    <w:p w14:paraId="3A7824CD" w14:textId="77777777" w:rsidR="002D37D7" w:rsidRPr="00A61C18" w:rsidRDefault="002D37D7" w:rsidP="002D37D7">
      <w:pPr>
        <w:spacing w:after="0" w:line="240" w:lineRule="auto"/>
        <w:ind w:left="1080"/>
        <w:jc w:val="both"/>
        <w:rPr>
          <w:rFonts w:eastAsia="Times New Roman" w:cstheme="minorHAnsi"/>
          <w:lang w:eastAsia="de-DE"/>
        </w:rPr>
      </w:pPr>
    </w:p>
    <w:p w14:paraId="2E289335" w14:textId="03610116" w:rsidR="002D37D7" w:rsidRPr="00A61C18" w:rsidRDefault="002D37D7" w:rsidP="002D37D7">
      <w:pPr>
        <w:spacing w:after="0" w:line="240" w:lineRule="auto"/>
        <w:jc w:val="both"/>
        <w:rPr>
          <w:rFonts w:eastAsia="Times New Roman" w:cstheme="minorHAnsi"/>
          <w:b/>
          <w:lang w:eastAsia="de-DE"/>
        </w:rPr>
      </w:pPr>
      <w:r w:rsidRPr="00A61C18">
        <w:rPr>
          <w:rFonts w:eastAsia="Times New Roman" w:cstheme="minorHAnsi"/>
          <w:b/>
          <w:lang w:eastAsia="de-DE"/>
        </w:rPr>
        <w:t xml:space="preserve">Articolul 10 – </w:t>
      </w:r>
      <w:r w:rsidR="00A61C18" w:rsidRPr="00A61C18">
        <w:rPr>
          <w:rFonts w:eastAsia="Times New Roman" w:cstheme="minorHAnsi"/>
          <w:b/>
          <w:lang w:eastAsia="de-DE"/>
        </w:rPr>
        <w:t xml:space="preserve">Completarea Condițiilor generale privind </w:t>
      </w:r>
      <w:r w:rsidRPr="00A61C18">
        <w:rPr>
          <w:rFonts w:eastAsia="Times New Roman" w:cstheme="minorHAnsi"/>
          <w:b/>
          <w:lang w:eastAsia="de-DE"/>
        </w:rPr>
        <w:t>Confidențialitate</w:t>
      </w:r>
      <w:r w:rsidR="00A61C18" w:rsidRPr="00A61C18">
        <w:rPr>
          <w:rFonts w:eastAsia="Times New Roman" w:cstheme="minorHAnsi"/>
          <w:b/>
          <w:lang w:eastAsia="de-DE"/>
        </w:rPr>
        <w:t>a</w:t>
      </w:r>
    </w:p>
    <w:p w14:paraId="65A41DB6" w14:textId="77777777" w:rsidR="002D37D7" w:rsidRPr="00A61C18" w:rsidRDefault="002D37D7" w:rsidP="002D37D7">
      <w:pPr>
        <w:numPr>
          <w:ilvl w:val="0"/>
          <w:numId w:val="9"/>
        </w:numPr>
        <w:spacing w:after="0" w:line="240" w:lineRule="auto"/>
        <w:ind w:left="360"/>
        <w:jc w:val="both"/>
        <w:rPr>
          <w:rFonts w:eastAsia="Times New Roman" w:cstheme="minorHAnsi"/>
        </w:rPr>
      </w:pPr>
      <w:r w:rsidRPr="00A61C18">
        <w:rPr>
          <w:rFonts w:eastAsia="Times New Roman" w:cstheme="minorHAnsi"/>
        </w:rPr>
        <w:t>În aplicarea art. 18 din Decizia de finanțare – Condiții generale, în situația apariției solicitărilor de informații privind proiectul, beneficiarul va informa AM cu privire la cererea de informații și va transmite în scris elementele, documentele, secțiunile, respectiv informațiile din proiect a căror publicare ar putea aduce atingere principiului concurenței loiale, respectiv proprietății intelectuale ori altor dispoziții legale aplicabile.</w:t>
      </w:r>
    </w:p>
    <w:p w14:paraId="6414B791" w14:textId="77777777" w:rsidR="002D37D7" w:rsidRPr="00A61C18" w:rsidRDefault="002D37D7" w:rsidP="002D37D7">
      <w:pPr>
        <w:numPr>
          <w:ilvl w:val="0"/>
          <w:numId w:val="9"/>
        </w:numPr>
        <w:spacing w:after="0" w:line="240" w:lineRule="auto"/>
        <w:ind w:left="360"/>
        <w:jc w:val="both"/>
        <w:rPr>
          <w:rFonts w:eastAsia="Times New Roman" w:cstheme="minorHAnsi"/>
        </w:rPr>
      </w:pPr>
      <w:r w:rsidRPr="00A61C18">
        <w:rPr>
          <w:rFonts w:eastAsia="Times New Roman" w:cstheme="minorHAnsi"/>
        </w:rPr>
        <w:t xml:space="preserve"> În urma răspunsului primit, nici beneficiarul, nici AM nu poate pune la dispoziția terților elemente de genul celor de la alin. (1), cu excepția situațiilor prevăzute în mod expres de lege.</w:t>
      </w:r>
    </w:p>
    <w:p w14:paraId="0237BEEC" w14:textId="676EBF4F" w:rsidR="002D37D7" w:rsidRPr="00A61C18" w:rsidRDefault="002D37D7" w:rsidP="00A40EA3">
      <w:pPr>
        <w:spacing w:after="0" w:line="240" w:lineRule="auto"/>
        <w:jc w:val="both"/>
        <w:rPr>
          <w:rFonts w:eastAsia="Times New Roman" w:cstheme="minorHAnsi"/>
          <w:lang w:eastAsia="de-DE"/>
        </w:rPr>
      </w:pPr>
      <w:r w:rsidRPr="00A61C18">
        <w:rPr>
          <w:rFonts w:eastAsia="Times New Roman" w:cstheme="minorHAnsi"/>
        </w:rPr>
        <w:t>(3)</w:t>
      </w:r>
      <w:r w:rsidR="001342A9" w:rsidRPr="00A61C18">
        <w:rPr>
          <w:rFonts w:eastAsia="Times New Roman" w:cstheme="minorHAnsi"/>
        </w:rPr>
        <w:t xml:space="preserve"> </w:t>
      </w:r>
      <w:r w:rsidRPr="00A61C18">
        <w:rPr>
          <w:rFonts w:eastAsia="Times New Roman" w:cstheme="minorHAnsi"/>
        </w:rPr>
        <w:t xml:space="preserve"> Prevederile alin. (3) al art. 18 din Decizia de finanțare – Condiții generale</w:t>
      </w:r>
      <w:r w:rsidRPr="00A61C18">
        <w:rPr>
          <w:rFonts w:eastAsia="Times New Roman" w:cstheme="minorHAnsi"/>
          <w:lang w:eastAsia="de-DE"/>
        </w:rPr>
        <w:t>, rămân aplicabile.</w:t>
      </w:r>
    </w:p>
    <w:p w14:paraId="61FB5994" w14:textId="32EF36A1" w:rsidR="002D37D7" w:rsidRPr="00F77CF1" w:rsidRDefault="002D37D7" w:rsidP="002D37D7">
      <w:pPr>
        <w:spacing w:after="0" w:line="240" w:lineRule="auto"/>
        <w:rPr>
          <w:rFonts w:eastAsia="Times New Roman" w:cstheme="minorHAnsi"/>
          <w:color w:val="FF0000"/>
          <w:lang w:eastAsia="de-DE"/>
        </w:rPr>
      </w:pPr>
    </w:p>
    <w:sectPr w:rsidR="002D37D7" w:rsidRPr="00F77CF1" w:rsidSect="003C7415">
      <w:headerReference w:type="default" r:id="rId8"/>
      <w:footerReference w:type="default" r:id="rId9"/>
      <w:pgSz w:w="11906" w:h="16838"/>
      <w:pgMar w:top="1440" w:right="1440" w:bottom="1440"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025A6D" w14:textId="77777777" w:rsidR="00B61E83" w:rsidRDefault="00B61E83" w:rsidP="00BF022F">
      <w:pPr>
        <w:spacing w:after="0" w:line="240" w:lineRule="auto"/>
      </w:pPr>
      <w:r>
        <w:separator/>
      </w:r>
    </w:p>
  </w:endnote>
  <w:endnote w:type="continuationSeparator" w:id="0">
    <w:p w14:paraId="7C6966EE" w14:textId="77777777" w:rsidR="00B61E83" w:rsidRDefault="00B61E83" w:rsidP="00BF02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15446792"/>
      <w:docPartObj>
        <w:docPartGallery w:val="Page Numbers (Bottom of Page)"/>
        <w:docPartUnique/>
      </w:docPartObj>
    </w:sdtPr>
    <w:sdtEndPr>
      <w:rPr>
        <w:noProof/>
      </w:rPr>
    </w:sdtEndPr>
    <w:sdtContent>
      <w:p w14:paraId="4A75E4E7" w14:textId="127D9FA2" w:rsidR="00F44FEB" w:rsidRDefault="00F44FEB">
        <w:pPr>
          <w:pStyle w:val="Footer"/>
          <w:jc w:val="right"/>
        </w:pPr>
        <w:r>
          <w:fldChar w:fldCharType="begin"/>
        </w:r>
        <w:r>
          <w:instrText xml:space="preserve"> PAGE   \* MERGEFORMAT </w:instrText>
        </w:r>
        <w:r>
          <w:fldChar w:fldCharType="separate"/>
        </w:r>
        <w:r w:rsidR="003F6DA6">
          <w:rPr>
            <w:noProof/>
          </w:rPr>
          <w:t>1</w:t>
        </w:r>
        <w:r>
          <w:rPr>
            <w:noProof/>
          </w:rPr>
          <w:fldChar w:fldCharType="end"/>
        </w:r>
      </w:p>
    </w:sdtContent>
  </w:sdt>
  <w:p w14:paraId="594F2E3A" w14:textId="77777777" w:rsidR="00BF022F" w:rsidRDefault="00BF02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D21E13" w14:textId="77777777" w:rsidR="00B61E83" w:rsidRDefault="00B61E83" w:rsidP="00BF022F">
      <w:pPr>
        <w:spacing w:after="0" w:line="240" w:lineRule="auto"/>
      </w:pPr>
      <w:r>
        <w:separator/>
      </w:r>
    </w:p>
  </w:footnote>
  <w:footnote w:type="continuationSeparator" w:id="0">
    <w:p w14:paraId="3F1FF7E4" w14:textId="77777777" w:rsidR="00B61E83" w:rsidRDefault="00B61E83" w:rsidP="00BF02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62039E" w14:textId="40C76E48" w:rsidR="00BF022F" w:rsidRDefault="00BF022F" w:rsidP="00F42DDC">
    <w:pPr>
      <w:pStyle w:val="Header"/>
      <w:jc w:val="right"/>
    </w:pPr>
    <w:r>
      <w:rPr>
        <w:noProof/>
        <w:lang w:eastAsia="ro-RO"/>
      </w:rPr>
      <w:drawing>
        <wp:inline distT="0" distB="0" distL="0" distR="0" wp14:anchorId="4328CC59" wp14:editId="4C422E75">
          <wp:extent cx="5883275" cy="920750"/>
          <wp:effectExtent l="0" t="0" r="317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3275" cy="920750"/>
                  </a:xfrm>
                  <a:prstGeom prst="rect">
                    <a:avLst/>
                  </a:prstGeom>
                  <a:noFill/>
                </pic:spPr>
              </pic:pic>
            </a:graphicData>
          </a:graphic>
        </wp:inline>
      </w:drawing>
    </w:r>
    <w:r w:rsidR="00EA722B">
      <w:t>COD SMIS................</w:t>
    </w:r>
  </w:p>
  <w:p w14:paraId="27AA5454" w14:textId="77777777" w:rsidR="00BF022F" w:rsidRDefault="00BF02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1154F"/>
    <w:multiLevelType w:val="multilevel"/>
    <w:tmpl w:val="DEE8180C"/>
    <w:numStyleLink w:val="ART"/>
  </w:abstractNum>
  <w:abstractNum w:abstractNumId="1" w15:restartNumberingAfterBreak="0">
    <w:nsid w:val="066A386D"/>
    <w:multiLevelType w:val="hybridMultilevel"/>
    <w:tmpl w:val="EDAA4392"/>
    <w:lvl w:ilvl="0" w:tplc="55D2B51C">
      <w:start w:val="1"/>
      <w:numFmt w:val="decimal"/>
      <w:lvlText w:val="(%1)"/>
      <w:lvlJc w:val="left"/>
      <w:pPr>
        <w:ind w:left="360" w:hanging="360"/>
      </w:pPr>
      <w:rPr>
        <w:rFonts w:ascii="Calibri" w:hAnsi="Calibri" w:cs="Times New Roman" w:hint="default"/>
        <w:color w:val="auto"/>
        <w:sz w:val="22"/>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 w15:restartNumberingAfterBreak="0">
    <w:nsid w:val="125B5E0D"/>
    <w:multiLevelType w:val="hybridMultilevel"/>
    <w:tmpl w:val="EDAA4392"/>
    <w:lvl w:ilvl="0" w:tplc="55D2B51C">
      <w:start w:val="1"/>
      <w:numFmt w:val="decimal"/>
      <w:lvlText w:val="(%1)"/>
      <w:lvlJc w:val="left"/>
      <w:pPr>
        <w:ind w:left="360" w:hanging="360"/>
      </w:pPr>
      <w:rPr>
        <w:rFonts w:ascii="Calibri" w:hAnsi="Calibri" w:cs="Times New Roman" w:hint="default"/>
        <w:color w:val="auto"/>
        <w:sz w:val="22"/>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 w15:restartNumberingAfterBreak="0">
    <w:nsid w:val="19545906"/>
    <w:multiLevelType w:val="hybridMultilevel"/>
    <w:tmpl w:val="159454A8"/>
    <w:lvl w:ilvl="0" w:tplc="1944B2AC">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7C6E93"/>
    <w:multiLevelType w:val="hybridMultilevel"/>
    <w:tmpl w:val="A55E9D5A"/>
    <w:lvl w:ilvl="0" w:tplc="04EC1C28">
      <w:start w:val="1"/>
      <w:numFmt w:val="decimal"/>
      <w:lvlText w:val="(%1)"/>
      <w:lvlJc w:val="left"/>
      <w:pPr>
        <w:ind w:left="36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 w15:restartNumberingAfterBreak="0">
    <w:nsid w:val="1A4C038D"/>
    <w:multiLevelType w:val="hybridMultilevel"/>
    <w:tmpl w:val="40964160"/>
    <w:lvl w:ilvl="0" w:tplc="55D2B51C">
      <w:start w:val="1"/>
      <w:numFmt w:val="decimal"/>
      <w:lvlText w:val="(%1)"/>
      <w:lvlJc w:val="left"/>
      <w:pPr>
        <w:ind w:left="360" w:hanging="360"/>
      </w:pPr>
      <w:rPr>
        <w:rFonts w:ascii="Calibri" w:hAnsi="Calibri" w:cs="Times New Roman" w:hint="default"/>
        <w:color w:val="auto"/>
        <w:sz w:val="22"/>
      </w:rPr>
    </w:lvl>
    <w:lvl w:ilvl="1" w:tplc="8286EC48">
      <w:start w:val="1"/>
      <w:numFmt w:val="decimal"/>
      <w:lvlText w:val="(%2)"/>
      <w:lvlJc w:val="left"/>
      <w:pPr>
        <w:ind w:left="360" w:firstLine="360"/>
      </w:pPr>
      <w:rPr>
        <w:rFonts w:cs="Times New Roman" w:hint="default"/>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 w15:restartNumberingAfterBreak="0">
    <w:nsid w:val="1AB135E1"/>
    <w:multiLevelType w:val="hybridMultilevel"/>
    <w:tmpl w:val="6D0AA9F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C906D3D"/>
    <w:multiLevelType w:val="hybridMultilevel"/>
    <w:tmpl w:val="0F50C862"/>
    <w:lvl w:ilvl="0" w:tplc="85CEA428">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 w15:restartNumberingAfterBreak="0">
    <w:nsid w:val="1D9E79F9"/>
    <w:multiLevelType w:val="hybridMultilevel"/>
    <w:tmpl w:val="FDF2C77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1376C54"/>
    <w:multiLevelType w:val="hybridMultilevel"/>
    <w:tmpl w:val="8EDC0CD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A9F483A"/>
    <w:multiLevelType w:val="hybridMultilevel"/>
    <w:tmpl w:val="3CE20418"/>
    <w:lvl w:ilvl="0" w:tplc="A9F0C8AE">
      <w:start w:val="1"/>
      <w:numFmt w:val="lowerLetter"/>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880B84"/>
    <w:multiLevelType w:val="hybridMultilevel"/>
    <w:tmpl w:val="0BA87F7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E1579AB"/>
    <w:multiLevelType w:val="hybridMultilevel"/>
    <w:tmpl w:val="99447560"/>
    <w:lvl w:ilvl="0" w:tplc="77684E4A">
      <w:start w:val="2"/>
      <w:numFmt w:val="bullet"/>
      <w:lvlText w:val="-"/>
      <w:lvlJc w:val="left"/>
      <w:pPr>
        <w:ind w:left="1350" w:hanging="360"/>
      </w:pPr>
      <w:rPr>
        <w:rFonts w:ascii="Calibri" w:eastAsia="Times New Roman" w:hAnsi="Calibri" w:cs="Calibri" w:hint="default"/>
        <w:sz w:val="22"/>
      </w:rPr>
    </w:lvl>
    <w:lvl w:ilvl="1" w:tplc="04180003">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13" w15:restartNumberingAfterBreak="0">
    <w:nsid w:val="46E51287"/>
    <w:multiLevelType w:val="multilevel"/>
    <w:tmpl w:val="DEE8180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4"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5" w15:restartNumberingAfterBreak="0">
    <w:nsid w:val="4ABB3B36"/>
    <w:multiLevelType w:val="hybridMultilevel"/>
    <w:tmpl w:val="8A1E30AE"/>
    <w:lvl w:ilvl="0" w:tplc="08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6" w15:restartNumberingAfterBreak="0">
    <w:nsid w:val="51A86C3C"/>
    <w:multiLevelType w:val="hybridMultilevel"/>
    <w:tmpl w:val="5956CAD8"/>
    <w:lvl w:ilvl="0" w:tplc="620275EC">
      <w:start w:val="1"/>
      <w:numFmt w:val="decimal"/>
      <w:lvlText w:val="(%1)"/>
      <w:lvlJc w:val="left"/>
      <w:pPr>
        <w:ind w:left="1080" w:hanging="360"/>
      </w:pPr>
      <w:rPr>
        <w:rFonts w:cs="Times New Roman" w:hint="default"/>
        <w:b w:val="0"/>
      </w:rPr>
    </w:lvl>
    <w:lvl w:ilvl="1" w:tplc="0B482A00">
      <w:start w:val="1"/>
      <w:numFmt w:val="lowerLetter"/>
      <w:lvlText w:val="%2)"/>
      <w:lvlJc w:val="left"/>
      <w:pPr>
        <w:ind w:left="1800" w:hanging="360"/>
      </w:pPr>
      <w:rPr>
        <w:rFonts w:cs="Times New Roman" w:hint="default"/>
        <w:u w:val="none"/>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7" w15:restartNumberingAfterBreak="0">
    <w:nsid w:val="58C25806"/>
    <w:multiLevelType w:val="hybridMultilevel"/>
    <w:tmpl w:val="C06A50B6"/>
    <w:lvl w:ilvl="0" w:tplc="CAA6C1C8">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5A0B1352"/>
    <w:multiLevelType w:val="hybridMultilevel"/>
    <w:tmpl w:val="C04E2510"/>
    <w:lvl w:ilvl="0" w:tplc="04180017">
      <w:start w:val="1"/>
      <w:numFmt w:val="lowerLetter"/>
      <w:lvlText w:val="%1)"/>
      <w:lvlJc w:val="lef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9" w15:restartNumberingAfterBreak="0">
    <w:nsid w:val="5EB464A6"/>
    <w:multiLevelType w:val="hybridMultilevel"/>
    <w:tmpl w:val="13EEF552"/>
    <w:lvl w:ilvl="0" w:tplc="77684E4A">
      <w:start w:val="2"/>
      <w:numFmt w:val="bullet"/>
      <w:lvlText w:val="-"/>
      <w:lvlJc w:val="left"/>
      <w:pPr>
        <w:ind w:left="1391" w:hanging="360"/>
      </w:pPr>
      <w:rPr>
        <w:rFonts w:ascii="Calibri" w:eastAsia="Times New Roman" w:hAnsi="Calibri" w:cs="Calibri" w:hint="default"/>
        <w:sz w:val="22"/>
      </w:rPr>
    </w:lvl>
    <w:lvl w:ilvl="1" w:tplc="04090003" w:tentative="1">
      <w:start w:val="1"/>
      <w:numFmt w:val="bullet"/>
      <w:lvlText w:val="o"/>
      <w:lvlJc w:val="left"/>
      <w:pPr>
        <w:ind w:left="2111" w:hanging="360"/>
      </w:pPr>
      <w:rPr>
        <w:rFonts w:ascii="Courier New" w:hAnsi="Courier New" w:cs="Courier New" w:hint="default"/>
      </w:rPr>
    </w:lvl>
    <w:lvl w:ilvl="2" w:tplc="04090005" w:tentative="1">
      <w:start w:val="1"/>
      <w:numFmt w:val="bullet"/>
      <w:lvlText w:val=""/>
      <w:lvlJc w:val="left"/>
      <w:pPr>
        <w:ind w:left="2831" w:hanging="360"/>
      </w:pPr>
      <w:rPr>
        <w:rFonts w:ascii="Wingdings" w:hAnsi="Wingdings" w:hint="default"/>
      </w:rPr>
    </w:lvl>
    <w:lvl w:ilvl="3" w:tplc="04090001" w:tentative="1">
      <w:start w:val="1"/>
      <w:numFmt w:val="bullet"/>
      <w:lvlText w:val=""/>
      <w:lvlJc w:val="left"/>
      <w:pPr>
        <w:ind w:left="3551" w:hanging="360"/>
      </w:pPr>
      <w:rPr>
        <w:rFonts w:ascii="Symbol" w:hAnsi="Symbol" w:hint="default"/>
      </w:rPr>
    </w:lvl>
    <w:lvl w:ilvl="4" w:tplc="04090003" w:tentative="1">
      <w:start w:val="1"/>
      <w:numFmt w:val="bullet"/>
      <w:lvlText w:val="o"/>
      <w:lvlJc w:val="left"/>
      <w:pPr>
        <w:ind w:left="4271" w:hanging="360"/>
      </w:pPr>
      <w:rPr>
        <w:rFonts w:ascii="Courier New" w:hAnsi="Courier New" w:cs="Courier New" w:hint="default"/>
      </w:rPr>
    </w:lvl>
    <w:lvl w:ilvl="5" w:tplc="04090005" w:tentative="1">
      <w:start w:val="1"/>
      <w:numFmt w:val="bullet"/>
      <w:lvlText w:val=""/>
      <w:lvlJc w:val="left"/>
      <w:pPr>
        <w:ind w:left="4991" w:hanging="360"/>
      </w:pPr>
      <w:rPr>
        <w:rFonts w:ascii="Wingdings" w:hAnsi="Wingdings" w:hint="default"/>
      </w:rPr>
    </w:lvl>
    <w:lvl w:ilvl="6" w:tplc="04090001" w:tentative="1">
      <w:start w:val="1"/>
      <w:numFmt w:val="bullet"/>
      <w:lvlText w:val=""/>
      <w:lvlJc w:val="left"/>
      <w:pPr>
        <w:ind w:left="5711" w:hanging="360"/>
      </w:pPr>
      <w:rPr>
        <w:rFonts w:ascii="Symbol" w:hAnsi="Symbol" w:hint="default"/>
      </w:rPr>
    </w:lvl>
    <w:lvl w:ilvl="7" w:tplc="04090003" w:tentative="1">
      <w:start w:val="1"/>
      <w:numFmt w:val="bullet"/>
      <w:lvlText w:val="o"/>
      <w:lvlJc w:val="left"/>
      <w:pPr>
        <w:ind w:left="6431" w:hanging="360"/>
      </w:pPr>
      <w:rPr>
        <w:rFonts w:ascii="Courier New" w:hAnsi="Courier New" w:cs="Courier New" w:hint="default"/>
      </w:rPr>
    </w:lvl>
    <w:lvl w:ilvl="8" w:tplc="04090005" w:tentative="1">
      <w:start w:val="1"/>
      <w:numFmt w:val="bullet"/>
      <w:lvlText w:val=""/>
      <w:lvlJc w:val="left"/>
      <w:pPr>
        <w:ind w:left="7151" w:hanging="360"/>
      </w:pPr>
      <w:rPr>
        <w:rFonts w:ascii="Wingdings" w:hAnsi="Wingdings" w:hint="default"/>
      </w:rPr>
    </w:lvl>
  </w:abstractNum>
  <w:abstractNum w:abstractNumId="20" w15:restartNumberingAfterBreak="0">
    <w:nsid w:val="6150744E"/>
    <w:multiLevelType w:val="hybridMultilevel"/>
    <w:tmpl w:val="60A87C2A"/>
    <w:lvl w:ilvl="0" w:tplc="C1CE903C">
      <w:start w:val="1"/>
      <w:numFmt w:val="lowerLetter"/>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2168BA"/>
    <w:multiLevelType w:val="hybridMultilevel"/>
    <w:tmpl w:val="EDD6D622"/>
    <w:lvl w:ilvl="0" w:tplc="55D2B51C">
      <w:start w:val="1"/>
      <w:numFmt w:val="decimal"/>
      <w:lvlText w:val="(%1)"/>
      <w:lvlJc w:val="left"/>
      <w:pPr>
        <w:ind w:left="360" w:hanging="360"/>
      </w:pPr>
      <w:rPr>
        <w:rFonts w:ascii="Calibri" w:hAnsi="Calibri" w:cs="Times New Roman" w:hint="default"/>
        <w:color w:val="auto"/>
        <w:sz w:val="22"/>
      </w:rPr>
    </w:lvl>
    <w:lvl w:ilvl="1" w:tplc="55D2B51C">
      <w:start w:val="1"/>
      <w:numFmt w:val="decimal"/>
      <w:lvlText w:val="(%2)"/>
      <w:lvlJc w:val="left"/>
      <w:pPr>
        <w:ind w:left="1080" w:hanging="360"/>
      </w:pPr>
      <w:rPr>
        <w:rFonts w:ascii="Calibri" w:hAnsi="Calibri" w:cs="Times New Roman" w:hint="default"/>
        <w:color w:val="auto"/>
        <w:sz w:val="22"/>
      </w:rPr>
    </w:lvl>
    <w:lvl w:ilvl="2" w:tplc="970AFA6E">
      <w:start w:val="1"/>
      <w:numFmt w:val="lowerLetter"/>
      <w:lvlText w:val="%3)"/>
      <w:lvlJc w:val="left"/>
      <w:pPr>
        <w:ind w:left="1980" w:hanging="360"/>
      </w:pPr>
      <w:rPr>
        <w:rFonts w:hint="default"/>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2" w15:restartNumberingAfterBreak="0">
    <w:nsid w:val="69775341"/>
    <w:multiLevelType w:val="hybridMultilevel"/>
    <w:tmpl w:val="A4AE2B0C"/>
    <w:lvl w:ilvl="0" w:tplc="DFC2CD70">
      <w:start w:val="1"/>
      <w:numFmt w:val="lowerLetter"/>
      <w:lvlText w:val="%1)"/>
      <w:lvlJc w:val="left"/>
      <w:pPr>
        <w:ind w:left="1440" w:hanging="360"/>
      </w:pPr>
      <w:rPr>
        <w:rFonts w:ascii="Calibri" w:eastAsia="Times New Roman" w:hAnsi="Calibri" w:cs="Calibri"/>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A4D4D25"/>
    <w:multiLevelType w:val="hybridMultilevel"/>
    <w:tmpl w:val="EDAA4392"/>
    <w:lvl w:ilvl="0" w:tplc="55D2B51C">
      <w:start w:val="1"/>
      <w:numFmt w:val="decimal"/>
      <w:lvlText w:val="(%1)"/>
      <w:lvlJc w:val="left"/>
      <w:pPr>
        <w:ind w:left="360" w:hanging="360"/>
      </w:pPr>
      <w:rPr>
        <w:rFonts w:ascii="Calibri" w:hAnsi="Calibri" w:cs="Times New Roman" w:hint="default"/>
        <w:color w:val="auto"/>
        <w:sz w:val="22"/>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4" w15:restartNumberingAfterBreak="0">
    <w:nsid w:val="6AC73263"/>
    <w:multiLevelType w:val="hybridMultilevel"/>
    <w:tmpl w:val="7714C7FC"/>
    <w:lvl w:ilvl="0" w:tplc="51549A88">
      <w:start w:val="1"/>
      <w:numFmt w:val="decimal"/>
      <w:lvlText w:val="(%1)"/>
      <w:lvlJc w:val="left"/>
      <w:pPr>
        <w:tabs>
          <w:tab w:val="num" w:pos="360"/>
        </w:tabs>
        <w:ind w:left="0" w:firstLine="0"/>
      </w:pPr>
      <w:rPr>
        <w:rFonts w:hint="default"/>
        <w:b w:val="0"/>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19C3BA8"/>
    <w:multiLevelType w:val="hybridMultilevel"/>
    <w:tmpl w:val="1382DA30"/>
    <w:lvl w:ilvl="0" w:tplc="52446B8E">
      <w:start w:val="1"/>
      <w:numFmt w:val="lowerLetter"/>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CF2CBA"/>
    <w:multiLevelType w:val="hybridMultilevel"/>
    <w:tmpl w:val="DA824BC2"/>
    <w:lvl w:ilvl="0" w:tplc="A45AC130">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7" w15:restartNumberingAfterBreak="0">
    <w:nsid w:val="7CCE502F"/>
    <w:multiLevelType w:val="hybridMultilevel"/>
    <w:tmpl w:val="C79EA1B0"/>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num w:numId="1">
    <w:abstractNumId w:val="22"/>
  </w:num>
  <w:num w:numId="2">
    <w:abstractNumId w:val="25"/>
  </w:num>
  <w:num w:numId="3">
    <w:abstractNumId w:val="26"/>
  </w:num>
  <w:num w:numId="4">
    <w:abstractNumId w:val="6"/>
  </w:num>
  <w:num w:numId="5">
    <w:abstractNumId w:val="8"/>
  </w:num>
  <w:num w:numId="6">
    <w:abstractNumId w:val="9"/>
  </w:num>
  <w:num w:numId="7">
    <w:abstractNumId w:val="16"/>
  </w:num>
  <w:num w:numId="8">
    <w:abstractNumId w:val="4"/>
  </w:num>
  <w:num w:numId="9">
    <w:abstractNumId w:val="17"/>
  </w:num>
  <w:num w:numId="10">
    <w:abstractNumId w:val="7"/>
  </w:num>
  <w:num w:numId="11">
    <w:abstractNumId w:val="10"/>
  </w:num>
  <w:num w:numId="12">
    <w:abstractNumId w:val="20"/>
  </w:num>
  <w:num w:numId="13">
    <w:abstractNumId w:val="5"/>
  </w:num>
  <w:num w:numId="14">
    <w:abstractNumId w:val="27"/>
  </w:num>
  <w:num w:numId="15">
    <w:abstractNumId w:val="1"/>
  </w:num>
  <w:num w:numId="16">
    <w:abstractNumId w:val="21"/>
  </w:num>
  <w:num w:numId="17">
    <w:abstractNumId w:val="18"/>
  </w:num>
  <w:num w:numId="18">
    <w:abstractNumId w:val="2"/>
  </w:num>
  <w:num w:numId="19">
    <w:abstractNumId w:val="23"/>
  </w:num>
  <w:num w:numId="20">
    <w:abstractNumId w:val="12"/>
  </w:num>
  <w:num w:numId="21">
    <w:abstractNumId w:val="24"/>
  </w:num>
  <w:num w:numId="22">
    <w:abstractNumId w:val="14"/>
  </w:num>
  <w:num w:numId="23">
    <w:abstractNumId w:val="13"/>
    <w:lvlOverride w:ilvl="0">
      <w:lvl w:ilvl="0">
        <w:start w:val="1"/>
        <w:numFmt w:val="decimal"/>
        <w:isLgl/>
        <w:lvlText w:val="Articolul %1"/>
        <w:lvlJc w:val="left"/>
        <w:pPr>
          <w:ind w:left="1134" w:hanging="1134"/>
        </w:pPr>
        <w:rPr>
          <w:rFonts w:ascii="Calibri" w:hAnsi="Calibri" w:hint="default"/>
          <w:b/>
          <w:i w:val="0"/>
          <w:color w:val="auto"/>
          <w:sz w:val="20"/>
        </w:rPr>
      </w:lvl>
    </w:lvlOverride>
    <w:lvlOverride w:ilvl="1">
      <w:lvl w:ilvl="1">
        <w:start w:val="1"/>
        <w:numFmt w:val="upperLetter"/>
        <w:lvlText w:val="%2."/>
        <w:lvlJc w:val="left"/>
        <w:pPr>
          <w:ind w:left="680" w:hanging="396"/>
        </w:pPr>
        <w:rPr>
          <w:rFonts w:ascii="Calibri" w:hAnsi="Calibri" w:hint="default"/>
          <w:sz w:val="20"/>
        </w:rPr>
      </w:lvl>
    </w:lvlOverride>
    <w:lvlOverride w:ilvl="2">
      <w:lvl w:ilvl="2">
        <w:start w:val="1"/>
        <w:numFmt w:val="decimal"/>
        <w:lvlText w:val="(%3)"/>
        <w:lvlJc w:val="left"/>
        <w:pPr>
          <w:ind w:left="680" w:hanging="396"/>
        </w:pPr>
        <w:rPr>
          <w:rFonts w:ascii="Trebuchet MS" w:eastAsia="Times New Roman" w:hAnsi="Trebuchet MS" w:cstheme="minorHAnsi"/>
          <w:sz w:val="20"/>
        </w:rPr>
      </w:lvl>
    </w:lvlOverride>
    <w:lvlOverride w:ilvl="3">
      <w:lvl w:ilvl="3">
        <w:start w:val="1"/>
        <w:numFmt w:val="lowerLetter"/>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4">
    <w:abstractNumId w:val="3"/>
  </w:num>
  <w:num w:numId="25">
    <w:abstractNumId w:val="12"/>
  </w:num>
  <w:num w:numId="26">
    <w:abstractNumId w:val="19"/>
  </w:num>
  <w:num w:numId="27">
    <w:abstractNumId w:val="13"/>
    <w:lvlOverride w:ilvl="0">
      <w:lvl w:ilvl="0">
        <w:start w:val="1"/>
        <w:numFmt w:val="decimal"/>
        <w:isLgl/>
        <w:lvlText w:val="Articolul %1"/>
        <w:lvlJc w:val="left"/>
        <w:pPr>
          <w:ind w:left="1276" w:hanging="1134"/>
        </w:pPr>
        <w:rPr>
          <w:rFonts w:ascii="Calibri" w:hAnsi="Calibri" w:hint="default"/>
          <w:b/>
          <w:i w:val="0"/>
          <w:color w:val="auto"/>
          <w:sz w:val="20"/>
        </w:rPr>
      </w:lvl>
    </w:lvlOverride>
    <w:lvlOverride w:ilvl="1">
      <w:lvl w:ilvl="1">
        <w:start w:val="1"/>
        <w:numFmt w:val="upperLetter"/>
        <w:lvlText w:val="%2."/>
        <w:lvlJc w:val="left"/>
        <w:pPr>
          <w:ind w:left="680" w:hanging="396"/>
        </w:pPr>
        <w:rPr>
          <w:rFonts w:ascii="Calibri" w:hAnsi="Calibri" w:hint="default"/>
          <w:sz w:val="20"/>
        </w:rPr>
      </w:lvl>
    </w:lvlOverride>
    <w:lvlOverride w:ilvl="2">
      <w:lvl w:ilvl="2">
        <w:start w:val="1"/>
        <w:numFmt w:val="decimal"/>
        <w:lvlText w:val="(%3)"/>
        <w:lvlJc w:val="left"/>
        <w:pPr>
          <w:ind w:left="680" w:hanging="396"/>
        </w:pPr>
        <w:rPr>
          <w:rFonts w:ascii="Calibri" w:hAnsi="Calibri" w:hint="default"/>
          <w:sz w:val="20"/>
        </w:rPr>
      </w:lvl>
    </w:lvlOverride>
    <w:lvlOverride w:ilvl="3">
      <w:lvl w:ilvl="3">
        <w:start w:val="1"/>
        <w:numFmt w:val="lowerLetter"/>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8">
    <w:abstractNumId w:val="11"/>
  </w:num>
  <w:num w:numId="29">
    <w:abstractNumId w:val="0"/>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1AD8"/>
    <w:rsid w:val="00017E7E"/>
    <w:rsid w:val="0003479E"/>
    <w:rsid w:val="000468A2"/>
    <w:rsid w:val="00054A50"/>
    <w:rsid w:val="000660F0"/>
    <w:rsid w:val="00077DFF"/>
    <w:rsid w:val="000A1EF9"/>
    <w:rsid w:val="000A37DF"/>
    <w:rsid w:val="000A55DB"/>
    <w:rsid w:val="000C4FF5"/>
    <w:rsid w:val="000C76E5"/>
    <w:rsid w:val="000D42A4"/>
    <w:rsid w:val="001127F2"/>
    <w:rsid w:val="00116136"/>
    <w:rsid w:val="00123320"/>
    <w:rsid w:val="001234D9"/>
    <w:rsid w:val="00125FCC"/>
    <w:rsid w:val="001342A9"/>
    <w:rsid w:val="00192F6F"/>
    <w:rsid w:val="001A0E1B"/>
    <w:rsid w:val="001E1CFB"/>
    <w:rsid w:val="001F1C80"/>
    <w:rsid w:val="002446CB"/>
    <w:rsid w:val="00263A24"/>
    <w:rsid w:val="002804E1"/>
    <w:rsid w:val="00295695"/>
    <w:rsid w:val="002C5EC8"/>
    <w:rsid w:val="002D37D7"/>
    <w:rsid w:val="002E41D9"/>
    <w:rsid w:val="00300CA3"/>
    <w:rsid w:val="003011E1"/>
    <w:rsid w:val="00305AE8"/>
    <w:rsid w:val="0031283F"/>
    <w:rsid w:val="003151C0"/>
    <w:rsid w:val="00316E8D"/>
    <w:rsid w:val="003A337A"/>
    <w:rsid w:val="003B045C"/>
    <w:rsid w:val="003C2FF3"/>
    <w:rsid w:val="003C7415"/>
    <w:rsid w:val="003D5DAC"/>
    <w:rsid w:val="003E53F3"/>
    <w:rsid w:val="003E7688"/>
    <w:rsid w:val="003F2B5E"/>
    <w:rsid w:val="003F6DA6"/>
    <w:rsid w:val="00427F5B"/>
    <w:rsid w:val="00432728"/>
    <w:rsid w:val="00456A84"/>
    <w:rsid w:val="0046452F"/>
    <w:rsid w:val="00475CE5"/>
    <w:rsid w:val="004777C9"/>
    <w:rsid w:val="004934CD"/>
    <w:rsid w:val="004B10A2"/>
    <w:rsid w:val="004C5E0F"/>
    <w:rsid w:val="005049F8"/>
    <w:rsid w:val="005110E7"/>
    <w:rsid w:val="00527390"/>
    <w:rsid w:val="00562A84"/>
    <w:rsid w:val="00583B69"/>
    <w:rsid w:val="00592A2D"/>
    <w:rsid w:val="005A6348"/>
    <w:rsid w:val="005C0C83"/>
    <w:rsid w:val="005C2A92"/>
    <w:rsid w:val="005E2C66"/>
    <w:rsid w:val="00600CDE"/>
    <w:rsid w:val="0060348E"/>
    <w:rsid w:val="00617F02"/>
    <w:rsid w:val="00640E62"/>
    <w:rsid w:val="006750B8"/>
    <w:rsid w:val="00676F15"/>
    <w:rsid w:val="00687E52"/>
    <w:rsid w:val="006C1CF1"/>
    <w:rsid w:val="006C4722"/>
    <w:rsid w:val="006E065E"/>
    <w:rsid w:val="00701567"/>
    <w:rsid w:val="0071212B"/>
    <w:rsid w:val="00745DE3"/>
    <w:rsid w:val="00760621"/>
    <w:rsid w:val="00761582"/>
    <w:rsid w:val="00771200"/>
    <w:rsid w:val="00781645"/>
    <w:rsid w:val="007A0BCD"/>
    <w:rsid w:val="007A74F2"/>
    <w:rsid w:val="007D353D"/>
    <w:rsid w:val="00814C6B"/>
    <w:rsid w:val="008251CE"/>
    <w:rsid w:val="00840BC7"/>
    <w:rsid w:val="00841AD8"/>
    <w:rsid w:val="00843640"/>
    <w:rsid w:val="00880513"/>
    <w:rsid w:val="008A2E12"/>
    <w:rsid w:val="008B3DFA"/>
    <w:rsid w:val="008B6467"/>
    <w:rsid w:val="008C6658"/>
    <w:rsid w:val="008C6B77"/>
    <w:rsid w:val="0091450F"/>
    <w:rsid w:val="00927CB8"/>
    <w:rsid w:val="00962AFA"/>
    <w:rsid w:val="00974649"/>
    <w:rsid w:val="009902E3"/>
    <w:rsid w:val="009D703A"/>
    <w:rsid w:val="009E4603"/>
    <w:rsid w:val="009F66A4"/>
    <w:rsid w:val="00A032F8"/>
    <w:rsid w:val="00A06BBC"/>
    <w:rsid w:val="00A40EA3"/>
    <w:rsid w:val="00A50074"/>
    <w:rsid w:val="00A50CA4"/>
    <w:rsid w:val="00A61C18"/>
    <w:rsid w:val="00AA346C"/>
    <w:rsid w:val="00AC4E3D"/>
    <w:rsid w:val="00AE24E5"/>
    <w:rsid w:val="00AF3164"/>
    <w:rsid w:val="00AF6F7E"/>
    <w:rsid w:val="00B17496"/>
    <w:rsid w:val="00B25985"/>
    <w:rsid w:val="00B2721C"/>
    <w:rsid w:val="00B312ED"/>
    <w:rsid w:val="00B32A0F"/>
    <w:rsid w:val="00B61E83"/>
    <w:rsid w:val="00B67F94"/>
    <w:rsid w:val="00BA3B86"/>
    <w:rsid w:val="00BB72EF"/>
    <w:rsid w:val="00BC7EF7"/>
    <w:rsid w:val="00BE49BE"/>
    <w:rsid w:val="00BF022F"/>
    <w:rsid w:val="00C06A14"/>
    <w:rsid w:val="00C13780"/>
    <w:rsid w:val="00C4299D"/>
    <w:rsid w:val="00C5265A"/>
    <w:rsid w:val="00C66876"/>
    <w:rsid w:val="00CA3B37"/>
    <w:rsid w:val="00CA4BA8"/>
    <w:rsid w:val="00CA6FAC"/>
    <w:rsid w:val="00CB520B"/>
    <w:rsid w:val="00CD3AB0"/>
    <w:rsid w:val="00D14C8F"/>
    <w:rsid w:val="00D32CC9"/>
    <w:rsid w:val="00D620C7"/>
    <w:rsid w:val="00D9523B"/>
    <w:rsid w:val="00DB483D"/>
    <w:rsid w:val="00DE6F62"/>
    <w:rsid w:val="00DF2CCE"/>
    <w:rsid w:val="00E00FCE"/>
    <w:rsid w:val="00E1477F"/>
    <w:rsid w:val="00E15C70"/>
    <w:rsid w:val="00E2295C"/>
    <w:rsid w:val="00E2298D"/>
    <w:rsid w:val="00E32958"/>
    <w:rsid w:val="00E7476F"/>
    <w:rsid w:val="00E76192"/>
    <w:rsid w:val="00EA722B"/>
    <w:rsid w:val="00F0439E"/>
    <w:rsid w:val="00F143DD"/>
    <w:rsid w:val="00F20557"/>
    <w:rsid w:val="00F20E0F"/>
    <w:rsid w:val="00F36D5F"/>
    <w:rsid w:val="00F37974"/>
    <w:rsid w:val="00F42DDC"/>
    <w:rsid w:val="00F44FEB"/>
    <w:rsid w:val="00F51739"/>
    <w:rsid w:val="00F6094F"/>
    <w:rsid w:val="00F77CF1"/>
    <w:rsid w:val="00F828FF"/>
    <w:rsid w:val="00F83F8D"/>
    <w:rsid w:val="00FA039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8C6839"/>
  <w15:chartTrackingRefBased/>
  <w15:docId w15:val="{B016EAAA-569E-47BD-9492-A5C244903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37D7"/>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2D37D7"/>
    <w:rPr>
      <w:color w:val="0000FF"/>
      <w:u w:val="single"/>
    </w:rPr>
  </w:style>
  <w:style w:type="paragraph" w:styleId="Header">
    <w:name w:val="header"/>
    <w:basedOn w:val="Normal"/>
    <w:link w:val="HeaderChar"/>
    <w:uiPriority w:val="99"/>
    <w:unhideWhenUsed/>
    <w:rsid w:val="00BF02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022F"/>
  </w:style>
  <w:style w:type="paragraph" w:styleId="Footer">
    <w:name w:val="footer"/>
    <w:basedOn w:val="Normal"/>
    <w:link w:val="FooterChar"/>
    <w:uiPriority w:val="99"/>
    <w:unhideWhenUsed/>
    <w:rsid w:val="00BF02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F022F"/>
  </w:style>
  <w:style w:type="paragraph" w:customStyle="1" w:styleId="Default">
    <w:name w:val="Default"/>
    <w:rsid w:val="00D14C8F"/>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
    <w:basedOn w:val="Normal"/>
    <w:link w:val="ListParagraphChar"/>
    <w:uiPriority w:val="34"/>
    <w:qFormat/>
    <w:rsid w:val="00077DFF"/>
    <w:pPr>
      <w:spacing w:after="200" w:line="276" w:lineRule="auto"/>
      <w:ind w:left="720"/>
      <w:contextualSpacing/>
    </w:pPr>
    <w:rPr>
      <w:rFonts w:ascii="Calibri" w:eastAsia="Times New Roman" w:hAnsi="Calibri" w:cs="Times New Roman"/>
      <w:lang w:val="en-US"/>
    </w:r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077DFF"/>
    <w:rPr>
      <w:rFonts w:ascii="Calibri" w:eastAsia="Times New Roman" w:hAnsi="Calibri" w:cs="Times New Roman"/>
      <w:lang w:val="en-US"/>
    </w:rPr>
  </w:style>
  <w:style w:type="paragraph" w:styleId="BalloonText">
    <w:name w:val="Balloon Text"/>
    <w:basedOn w:val="Normal"/>
    <w:link w:val="BalloonTextChar"/>
    <w:uiPriority w:val="99"/>
    <w:semiHidden/>
    <w:unhideWhenUsed/>
    <w:rsid w:val="001342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42A9"/>
    <w:rPr>
      <w:rFonts w:ascii="Segoe UI" w:hAnsi="Segoe UI" w:cs="Segoe UI"/>
      <w:sz w:val="18"/>
      <w:szCs w:val="18"/>
    </w:rPr>
  </w:style>
  <w:style w:type="paragraph" w:styleId="BodyText3">
    <w:name w:val="Body Text 3"/>
    <w:basedOn w:val="Normal"/>
    <w:link w:val="BodyText3Char"/>
    <w:rsid w:val="001342A9"/>
    <w:pPr>
      <w:keepNext/>
      <w:spacing w:after="0" w:line="240" w:lineRule="auto"/>
      <w:jc w:val="both"/>
      <w:outlineLvl w:val="1"/>
    </w:pPr>
    <w:rPr>
      <w:rFonts w:ascii="Arial" w:eastAsia="Times New Roman" w:hAnsi="Arial" w:cs="Times New Roman"/>
      <w:bCs/>
      <w:sz w:val="24"/>
      <w:szCs w:val="24"/>
      <w:lang w:eastAsia="ro-RO"/>
    </w:rPr>
  </w:style>
  <w:style w:type="character" w:customStyle="1" w:styleId="BodyText3Char">
    <w:name w:val="Body Text 3 Char"/>
    <w:basedOn w:val="DefaultParagraphFont"/>
    <w:link w:val="BodyText3"/>
    <w:rsid w:val="001342A9"/>
    <w:rPr>
      <w:rFonts w:ascii="Arial" w:eastAsia="Times New Roman" w:hAnsi="Arial" w:cs="Times New Roman"/>
      <w:bCs/>
      <w:sz w:val="24"/>
      <w:szCs w:val="24"/>
      <w:lang w:eastAsia="ro-RO"/>
    </w:rPr>
  </w:style>
  <w:style w:type="numbering" w:customStyle="1" w:styleId="ART">
    <w:name w:val="ART."/>
    <w:basedOn w:val="NoList"/>
    <w:uiPriority w:val="99"/>
    <w:rsid w:val="006C1CF1"/>
    <w:pPr>
      <w:numPr>
        <w:numId w:val="22"/>
      </w:numPr>
    </w:pPr>
  </w:style>
  <w:style w:type="paragraph" w:customStyle="1" w:styleId="Articol">
    <w:name w:val="Articol"/>
    <w:basedOn w:val="ListParagraph"/>
    <w:qFormat/>
    <w:rsid w:val="006C1CF1"/>
    <w:pPr>
      <w:tabs>
        <w:tab w:val="num" w:pos="360"/>
      </w:tabs>
      <w:spacing w:before="240" w:after="40" w:line="240" w:lineRule="auto"/>
      <w:ind w:left="680" w:hanging="396"/>
      <w:contextualSpacing w:val="0"/>
      <w:jc w:val="both"/>
    </w:pPr>
    <w:rPr>
      <w:rFonts w:asciiTheme="minorHAnsi" w:hAnsiTheme="minorHAnsi" w:cstheme="minorBidi"/>
      <w:b/>
      <w:iCs/>
      <w:sz w:val="20"/>
      <w:szCs w:val="24"/>
      <w:lang w:val="ro-RO" w:eastAsia="sk-SK"/>
    </w:rPr>
  </w:style>
  <w:style w:type="paragraph" w:customStyle="1" w:styleId="Alineat">
    <w:name w:val="Alineat"/>
    <w:basedOn w:val="ListParagraph"/>
    <w:link w:val="AlineatChar"/>
    <w:qFormat/>
    <w:rsid w:val="006C1CF1"/>
    <w:pPr>
      <w:tabs>
        <w:tab w:val="num" w:pos="360"/>
      </w:tabs>
      <w:spacing w:before="40" w:after="40" w:line="240" w:lineRule="auto"/>
      <w:ind w:left="2155" w:hanging="737"/>
      <w:contextualSpacing w:val="0"/>
      <w:jc w:val="both"/>
    </w:pPr>
    <w:rPr>
      <w:rFonts w:asciiTheme="minorHAnsi" w:hAnsiTheme="minorHAnsi" w:cstheme="minorBidi"/>
      <w:iCs/>
      <w:sz w:val="20"/>
      <w:szCs w:val="24"/>
      <w:lang w:val="ro-RO" w:eastAsia="sk-SK"/>
    </w:rPr>
  </w:style>
  <w:style w:type="paragraph" w:customStyle="1" w:styleId="Alineat-lit">
    <w:name w:val="Alineat-lit"/>
    <w:basedOn w:val="Alineat"/>
    <w:qFormat/>
    <w:rsid w:val="006C1CF1"/>
    <w:pPr>
      <w:spacing w:before="0" w:after="0"/>
      <w:ind w:left="2722"/>
    </w:pPr>
  </w:style>
  <w:style w:type="paragraph" w:customStyle="1" w:styleId="Alineat-list">
    <w:name w:val="Alineat-list"/>
    <w:basedOn w:val="Alineat-lit"/>
    <w:qFormat/>
    <w:rsid w:val="006C1CF1"/>
    <w:pPr>
      <w:ind w:left="3856"/>
    </w:pPr>
  </w:style>
  <w:style w:type="character" w:styleId="CommentReference">
    <w:name w:val="annotation reference"/>
    <w:basedOn w:val="DefaultParagraphFont"/>
    <w:uiPriority w:val="99"/>
    <w:semiHidden/>
    <w:unhideWhenUsed/>
    <w:rsid w:val="00116136"/>
    <w:rPr>
      <w:sz w:val="16"/>
      <w:szCs w:val="16"/>
    </w:rPr>
  </w:style>
  <w:style w:type="paragraph" w:styleId="CommentText">
    <w:name w:val="annotation text"/>
    <w:basedOn w:val="Normal"/>
    <w:link w:val="CommentTextChar"/>
    <w:uiPriority w:val="99"/>
    <w:semiHidden/>
    <w:unhideWhenUsed/>
    <w:rsid w:val="00116136"/>
    <w:pPr>
      <w:spacing w:line="240" w:lineRule="auto"/>
    </w:pPr>
    <w:rPr>
      <w:sz w:val="20"/>
      <w:szCs w:val="20"/>
    </w:rPr>
  </w:style>
  <w:style w:type="character" w:customStyle="1" w:styleId="CommentTextChar">
    <w:name w:val="Comment Text Char"/>
    <w:basedOn w:val="DefaultParagraphFont"/>
    <w:link w:val="CommentText"/>
    <w:uiPriority w:val="99"/>
    <w:semiHidden/>
    <w:rsid w:val="00116136"/>
    <w:rPr>
      <w:sz w:val="20"/>
      <w:szCs w:val="20"/>
    </w:rPr>
  </w:style>
  <w:style w:type="paragraph" w:styleId="CommentSubject">
    <w:name w:val="annotation subject"/>
    <w:basedOn w:val="CommentText"/>
    <w:next w:val="CommentText"/>
    <w:link w:val="CommentSubjectChar"/>
    <w:uiPriority w:val="99"/>
    <w:semiHidden/>
    <w:unhideWhenUsed/>
    <w:rsid w:val="00116136"/>
    <w:rPr>
      <w:b/>
      <w:bCs/>
    </w:rPr>
  </w:style>
  <w:style w:type="character" w:customStyle="1" w:styleId="CommentSubjectChar">
    <w:name w:val="Comment Subject Char"/>
    <w:basedOn w:val="CommentTextChar"/>
    <w:link w:val="CommentSubject"/>
    <w:uiPriority w:val="99"/>
    <w:semiHidden/>
    <w:rsid w:val="00116136"/>
    <w:rPr>
      <w:b/>
      <w:bCs/>
      <w:sz w:val="20"/>
      <w:szCs w:val="20"/>
    </w:rPr>
  </w:style>
  <w:style w:type="character" w:customStyle="1" w:styleId="AlineatChar">
    <w:name w:val="Alineat Char"/>
    <w:basedOn w:val="ListParagraphChar"/>
    <w:link w:val="Alineat"/>
    <w:rsid w:val="00D9523B"/>
    <w:rPr>
      <w:rFonts w:ascii="Calibri" w:eastAsia="Times New Roman" w:hAnsi="Calibri" w:cs="Times New Roman"/>
      <w:iCs/>
      <w:sz w:val="20"/>
      <w:szCs w:val="24"/>
      <w:lang w:val="en-US"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7114394">
      <w:bodyDiv w:val="1"/>
      <w:marLeft w:val="0"/>
      <w:marRight w:val="0"/>
      <w:marTop w:val="0"/>
      <w:marBottom w:val="0"/>
      <w:divBdr>
        <w:top w:val="none" w:sz="0" w:space="0" w:color="auto"/>
        <w:left w:val="none" w:sz="0" w:space="0" w:color="auto"/>
        <w:bottom w:val="none" w:sz="0" w:space="0" w:color="auto"/>
        <w:right w:val="none" w:sz="0" w:space="0" w:color="auto"/>
      </w:divBdr>
    </w:div>
    <w:div w:id="686490042">
      <w:bodyDiv w:val="1"/>
      <w:marLeft w:val="0"/>
      <w:marRight w:val="0"/>
      <w:marTop w:val="0"/>
      <w:marBottom w:val="0"/>
      <w:divBdr>
        <w:top w:val="none" w:sz="0" w:space="0" w:color="auto"/>
        <w:left w:val="none" w:sz="0" w:space="0" w:color="auto"/>
        <w:bottom w:val="none" w:sz="0" w:space="0" w:color="auto"/>
        <w:right w:val="none" w:sz="0" w:space="0" w:color="auto"/>
      </w:divBdr>
    </w:div>
    <w:div w:id="700086296">
      <w:bodyDiv w:val="1"/>
      <w:marLeft w:val="0"/>
      <w:marRight w:val="0"/>
      <w:marTop w:val="0"/>
      <w:marBottom w:val="0"/>
      <w:divBdr>
        <w:top w:val="none" w:sz="0" w:space="0" w:color="auto"/>
        <w:left w:val="none" w:sz="0" w:space="0" w:color="auto"/>
        <w:bottom w:val="none" w:sz="0" w:space="0" w:color="auto"/>
        <w:right w:val="none" w:sz="0" w:space="0" w:color="auto"/>
      </w:divBdr>
    </w:div>
    <w:div w:id="828054776">
      <w:bodyDiv w:val="1"/>
      <w:marLeft w:val="0"/>
      <w:marRight w:val="0"/>
      <w:marTop w:val="0"/>
      <w:marBottom w:val="0"/>
      <w:divBdr>
        <w:top w:val="none" w:sz="0" w:space="0" w:color="auto"/>
        <w:left w:val="none" w:sz="0" w:space="0" w:color="auto"/>
        <w:bottom w:val="none" w:sz="0" w:space="0" w:color="auto"/>
        <w:right w:val="none" w:sz="0" w:space="0" w:color="auto"/>
      </w:divBdr>
    </w:div>
    <w:div w:id="2018344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384E45-804F-41AE-B24A-AAB2B5C6A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Pages>
  <Words>3201</Words>
  <Characters>18246</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Luiza</dc:creator>
  <cp:keywords/>
  <dc:description/>
  <cp:lastModifiedBy>Luana</cp:lastModifiedBy>
  <cp:revision>5</cp:revision>
  <dcterms:created xsi:type="dcterms:W3CDTF">2023-08-08T10:51:00Z</dcterms:created>
  <dcterms:modified xsi:type="dcterms:W3CDTF">2023-08-08T11:25:00Z</dcterms:modified>
</cp:coreProperties>
</file>